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D8AF">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lang w:eastAsia="zh-CN"/>
        </w:rPr>
        <w:t>附件</w:t>
      </w:r>
      <w:r>
        <w:rPr>
          <w:rFonts w:hint="eastAsia" w:cs="宋体" w:asciiTheme="minorEastAsia" w:hAnsiTheme="minorEastAsia" w:eastAsiaTheme="minorEastAsia"/>
          <w:b/>
          <w:bCs/>
          <w:kern w:val="0"/>
          <w:sz w:val="24"/>
        </w:rPr>
        <w:t>：</w:t>
      </w:r>
    </w:p>
    <w:p w14:paraId="0BE66F18">
      <w:pPr>
        <w:widowControl/>
        <w:spacing w:line="360" w:lineRule="auto"/>
        <w:jc w:val="center"/>
        <w:rPr>
          <w:rFonts w:cs="宋体" w:asciiTheme="minorEastAsia" w:hAnsiTheme="minorEastAsia" w:eastAsiaTheme="minorEastAsia"/>
          <w:b/>
          <w:bCs/>
          <w:kern w:val="0"/>
          <w:sz w:val="28"/>
        </w:rPr>
      </w:pPr>
      <w:r>
        <w:rPr>
          <w:rFonts w:cs="宋体" w:asciiTheme="minorEastAsia" w:hAnsiTheme="minorEastAsia" w:eastAsiaTheme="minorEastAsia"/>
          <w:b/>
          <w:kern w:val="0"/>
          <w:sz w:val="28"/>
        </w:rPr>
        <w:t>供应商的资格要求</w:t>
      </w:r>
    </w:p>
    <w:p w14:paraId="2240A41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一般资格证明文件</w:t>
      </w:r>
      <w:r>
        <w:rPr>
          <w:rFonts w:hint="eastAsia" w:cs="宋体" w:asciiTheme="minorEastAsia" w:hAnsiTheme="minorEastAsia" w:eastAsiaTheme="minorEastAsia"/>
          <w:kern w:val="0"/>
          <w:sz w:val="24"/>
        </w:rPr>
        <w:t>（所有合同包的供应商均需满足</w:t>
      </w:r>
      <w:r>
        <w:rPr>
          <w:rFonts w:cs="宋体" w:asciiTheme="minorEastAsia" w:hAnsiTheme="minorEastAsia" w:eastAsiaTheme="minorEastAsia"/>
          <w:kern w:val="0"/>
          <w:sz w:val="24"/>
        </w:rPr>
        <w:t>一般资格要求</w:t>
      </w:r>
      <w:r>
        <w:rPr>
          <w:rFonts w:hint="eastAsia" w:cs="宋体" w:asciiTheme="minorEastAsia" w:hAnsiTheme="minorEastAsia" w:eastAsiaTheme="minorEastAsia"/>
          <w:kern w:val="0"/>
          <w:sz w:val="24"/>
          <w:lang w:eastAsia="zh-CN"/>
        </w:rPr>
        <w:t>）</w:t>
      </w:r>
      <w:r>
        <w:rPr>
          <w:rFonts w:cs="宋体" w:asciiTheme="minorEastAsia" w:hAnsiTheme="minorEastAsia" w:eastAsiaTheme="minorEastAsia"/>
          <w:kern w:val="0"/>
          <w:sz w:val="24"/>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14:paraId="626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24E2EA6F">
            <w:pPr>
              <w:widowControl/>
              <w:spacing w:line="420" w:lineRule="exact"/>
              <w:jc w:val="center"/>
              <w:rPr>
                <w:rFonts w:ascii="宋体" w:hAnsi="宋体" w:cs="宋体"/>
                <w:b/>
                <w:bCs/>
                <w:kern w:val="0"/>
                <w:sz w:val="24"/>
              </w:rPr>
            </w:pPr>
            <w:r>
              <w:rPr>
                <w:rFonts w:ascii="宋体" w:hAnsi="宋体" w:cs="宋体"/>
                <w:b/>
                <w:bCs/>
                <w:kern w:val="0"/>
                <w:sz w:val="24"/>
              </w:rPr>
              <w:t>明细</w:t>
            </w:r>
          </w:p>
        </w:tc>
        <w:tc>
          <w:tcPr>
            <w:tcW w:w="4026" w:type="pct"/>
            <w:vAlign w:val="center"/>
          </w:tcPr>
          <w:p w14:paraId="30485807">
            <w:pPr>
              <w:widowControl/>
              <w:spacing w:line="420" w:lineRule="exact"/>
              <w:jc w:val="center"/>
              <w:rPr>
                <w:rFonts w:ascii="宋体" w:hAnsi="宋体" w:cs="宋体"/>
                <w:b/>
                <w:bCs/>
                <w:kern w:val="0"/>
                <w:sz w:val="24"/>
              </w:rPr>
            </w:pPr>
            <w:r>
              <w:rPr>
                <w:rFonts w:ascii="宋体" w:hAnsi="宋体" w:cs="宋体"/>
                <w:b/>
                <w:bCs/>
                <w:kern w:val="0"/>
                <w:sz w:val="24"/>
              </w:rPr>
              <w:t>描述</w:t>
            </w:r>
          </w:p>
        </w:tc>
      </w:tr>
      <w:tr w14:paraId="52B9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753A1380">
            <w:pPr>
              <w:widowControl/>
              <w:spacing w:line="420" w:lineRule="exact"/>
              <w:jc w:val="center"/>
              <w:rPr>
                <w:rFonts w:ascii="宋体" w:hAnsi="宋体" w:cs="宋体"/>
                <w:kern w:val="0"/>
                <w:sz w:val="24"/>
              </w:rPr>
            </w:pPr>
            <w:r>
              <w:rPr>
                <w:rFonts w:ascii="宋体" w:hAnsi="宋体" w:cs="宋体"/>
                <w:kern w:val="0"/>
                <w:sz w:val="24"/>
              </w:rPr>
              <w:t>营业执照等证明文件</w:t>
            </w:r>
          </w:p>
        </w:tc>
        <w:tc>
          <w:tcPr>
            <w:tcW w:w="4026" w:type="pct"/>
            <w:vAlign w:val="center"/>
          </w:tcPr>
          <w:p w14:paraId="500B0B36">
            <w:pPr>
              <w:widowControl/>
              <w:spacing w:line="420" w:lineRule="exact"/>
              <w:rPr>
                <w:rFonts w:ascii="宋体" w:hAnsi="宋体" w:cs="宋体"/>
                <w:kern w:val="0"/>
                <w:sz w:val="24"/>
              </w:rPr>
            </w:pP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tc>
      </w:tr>
      <w:tr w14:paraId="7E9B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445B7261">
            <w:pPr>
              <w:widowControl/>
              <w:spacing w:line="420" w:lineRule="exact"/>
              <w:jc w:val="center"/>
              <w:rPr>
                <w:rFonts w:asciiTheme="minorEastAsia" w:hAnsiTheme="minorEastAsia"/>
                <w:kern w:val="0"/>
                <w:sz w:val="24"/>
              </w:rPr>
            </w:pPr>
            <w:r>
              <w:rPr>
                <w:rFonts w:asciiTheme="minorEastAsia" w:hAnsiTheme="minorEastAsia"/>
                <w:kern w:val="0"/>
                <w:sz w:val="24"/>
              </w:rPr>
              <w:t>单位负责人证明或授权书</w:t>
            </w:r>
          </w:p>
        </w:tc>
        <w:tc>
          <w:tcPr>
            <w:tcW w:w="4026" w:type="pct"/>
            <w:vAlign w:val="center"/>
          </w:tcPr>
          <w:p w14:paraId="033FD5A0">
            <w:pPr>
              <w:widowControl/>
              <w:spacing w:line="420" w:lineRule="exact"/>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p>
          <w:p w14:paraId="42F2FB32">
            <w:pPr>
              <w:widowControl/>
              <w:spacing w:line="420" w:lineRule="exact"/>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tc>
      </w:tr>
      <w:tr w14:paraId="2D9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2E1BAB1C">
            <w:pPr>
              <w:widowControl/>
              <w:spacing w:line="420" w:lineRule="exact"/>
              <w:jc w:val="center"/>
              <w:rPr>
                <w:rFonts w:ascii="宋体" w:hAnsi="宋体" w:cs="宋体"/>
                <w:kern w:val="0"/>
                <w:sz w:val="24"/>
              </w:rPr>
            </w:pPr>
            <w:r>
              <w:rPr>
                <w:rFonts w:ascii="宋体" w:hAnsi="宋体" w:cs="宋体"/>
                <w:kern w:val="0"/>
                <w:sz w:val="24"/>
              </w:rPr>
              <w:t>财务状况报告</w:t>
            </w:r>
          </w:p>
        </w:tc>
        <w:tc>
          <w:tcPr>
            <w:tcW w:w="4026" w:type="pct"/>
            <w:vAlign w:val="center"/>
          </w:tcPr>
          <w:p w14:paraId="76802876">
            <w:pPr>
              <w:widowControl/>
              <w:spacing w:line="420" w:lineRule="exact"/>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tc>
      </w:tr>
      <w:tr w14:paraId="38C9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011A78F3">
            <w:pPr>
              <w:widowControl/>
              <w:spacing w:line="420" w:lineRule="exact"/>
              <w:jc w:val="center"/>
              <w:rPr>
                <w:rFonts w:ascii="宋体" w:hAnsi="宋体" w:cs="宋体"/>
                <w:kern w:val="0"/>
                <w:sz w:val="24"/>
              </w:rPr>
            </w:pPr>
            <w:r>
              <w:rPr>
                <w:rFonts w:ascii="宋体" w:hAnsi="宋体" w:cs="宋体"/>
                <w:kern w:val="0"/>
                <w:sz w:val="24"/>
              </w:rPr>
              <w:t>依法缴纳税收证明材料</w:t>
            </w:r>
          </w:p>
        </w:tc>
        <w:tc>
          <w:tcPr>
            <w:tcW w:w="4026" w:type="pct"/>
            <w:vAlign w:val="center"/>
          </w:tcPr>
          <w:p w14:paraId="6F9EC3C3">
            <w:pPr>
              <w:widowControl/>
              <w:spacing w:line="420" w:lineRule="exact"/>
              <w:rPr>
                <w:rFonts w:ascii="宋体" w:hAnsi="宋体" w:cs="宋体"/>
                <w:kern w:val="0"/>
                <w:sz w:val="24"/>
              </w:rPr>
            </w:pP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，享受税收减免政策的企业，</w:t>
            </w:r>
            <w:r>
              <w:rPr>
                <w:rFonts w:ascii="宋体" w:hAnsi="宋体" w:cs="宋体"/>
                <w:kern w:val="0"/>
                <w:sz w:val="24"/>
              </w:rPr>
              <w:t>提供依法缴纳税收承诺书原件</w:t>
            </w:r>
            <w:r>
              <w:rPr>
                <w:rFonts w:hint="eastAsia" w:ascii="宋体" w:hAnsi="宋体" w:cs="宋体"/>
                <w:kern w:val="0"/>
                <w:sz w:val="24"/>
              </w:rPr>
              <w:t>（格式自拟）。</w:t>
            </w:r>
          </w:p>
        </w:tc>
      </w:tr>
      <w:tr w14:paraId="68C6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130F2394">
            <w:pPr>
              <w:widowControl/>
              <w:spacing w:line="420" w:lineRule="exact"/>
              <w:jc w:val="center"/>
              <w:rPr>
                <w:rFonts w:ascii="宋体" w:hAnsi="宋体" w:cs="宋体"/>
                <w:kern w:val="0"/>
                <w:sz w:val="24"/>
              </w:rPr>
            </w:pPr>
            <w:r>
              <w:rPr>
                <w:rFonts w:ascii="宋体" w:hAnsi="宋体" w:cs="宋体"/>
                <w:kern w:val="0"/>
                <w:sz w:val="24"/>
              </w:rPr>
              <w:t>依法缴纳社会保障资金证明材料</w:t>
            </w:r>
          </w:p>
        </w:tc>
        <w:tc>
          <w:tcPr>
            <w:tcW w:w="4026" w:type="pct"/>
            <w:vAlign w:val="center"/>
          </w:tcPr>
          <w:p w14:paraId="46D4B23E">
            <w:pPr>
              <w:widowControl/>
              <w:spacing w:line="420" w:lineRule="exact"/>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，享受社保减免政策的企业，</w:t>
            </w:r>
            <w:r>
              <w:rPr>
                <w:rFonts w:ascii="宋体" w:hAnsi="宋体" w:cs="宋体"/>
                <w:kern w:val="0"/>
                <w:sz w:val="24"/>
              </w:rPr>
              <w:t>提供依法缴纳社会保障资金承诺书原件（格式自拟）。</w:t>
            </w:r>
          </w:p>
        </w:tc>
      </w:tr>
      <w:tr w14:paraId="6ABB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2CD9639D">
            <w:pPr>
              <w:widowControl/>
              <w:spacing w:line="420" w:lineRule="exact"/>
              <w:jc w:val="center"/>
              <w:rPr>
                <w:rFonts w:ascii="宋体" w:hAnsi="宋体" w:cs="宋体"/>
                <w:sz w:val="24"/>
              </w:rPr>
            </w:pPr>
            <w:r>
              <w:rPr>
                <w:rFonts w:hint="eastAsia" w:ascii="宋体" w:hAnsi="宋体" w:cs="宋体"/>
                <w:sz w:val="24"/>
              </w:rPr>
              <w:t>信用承诺制</w:t>
            </w:r>
          </w:p>
          <w:p w14:paraId="2ACF5B2C">
            <w:pPr>
              <w:widowControl/>
              <w:spacing w:line="420" w:lineRule="exact"/>
              <w:jc w:val="center"/>
              <w:rPr>
                <w:rFonts w:ascii="宋体" w:hAnsi="宋体" w:cs="宋体"/>
                <w:sz w:val="24"/>
                <w:highlight w:val="yellow"/>
              </w:rPr>
            </w:pPr>
            <w:r>
              <w:rPr>
                <w:rFonts w:hint="eastAsia" w:ascii="宋体" w:hAnsi="宋体" w:cs="宋体"/>
                <w:sz w:val="24"/>
              </w:rPr>
              <w:t>要求</w:t>
            </w:r>
          </w:p>
        </w:tc>
        <w:tc>
          <w:tcPr>
            <w:tcW w:w="4026" w:type="pct"/>
            <w:vAlign w:val="center"/>
          </w:tcPr>
          <w:p w14:paraId="6FE9785B">
            <w:pPr>
              <w:widowControl/>
              <w:spacing w:line="420" w:lineRule="exact"/>
              <w:rPr>
                <w:rFonts w:ascii="宋体" w:hAnsi="宋体" w:cs="宋体"/>
                <w:sz w:val="24"/>
                <w:highlight w:val="yellow"/>
              </w:rPr>
            </w:pP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tc>
      </w:tr>
      <w:tr w14:paraId="3DF2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279EBBF9">
            <w:pPr>
              <w:widowControl/>
              <w:spacing w:line="420" w:lineRule="exact"/>
              <w:jc w:val="center"/>
              <w:rPr>
                <w:rFonts w:ascii="宋体" w:hAnsi="宋体" w:cs="宋体"/>
                <w:kern w:val="0"/>
                <w:sz w:val="24"/>
              </w:rPr>
            </w:pPr>
            <w:r>
              <w:rPr>
                <w:rFonts w:ascii="宋体" w:hAnsi="宋体" w:cs="宋体"/>
                <w:kern w:val="0"/>
                <w:sz w:val="24"/>
              </w:rPr>
              <w:t>具备履行合同所必需设备和专业技术能力的声明函</w:t>
            </w:r>
          </w:p>
        </w:tc>
        <w:tc>
          <w:tcPr>
            <w:tcW w:w="4026" w:type="pct"/>
            <w:vAlign w:val="center"/>
          </w:tcPr>
          <w:p w14:paraId="0F9E10AF">
            <w:pPr>
              <w:widowControl/>
              <w:spacing w:line="420" w:lineRule="exact"/>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tc>
      </w:tr>
      <w:tr w14:paraId="41D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14:paraId="23B5F41F">
            <w:pPr>
              <w:widowControl/>
              <w:spacing w:line="420" w:lineRule="exact"/>
              <w:jc w:val="center"/>
              <w:rPr>
                <w:rFonts w:ascii="宋体" w:hAnsi="宋体" w:cs="宋体"/>
                <w:kern w:val="0"/>
                <w:sz w:val="24"/>
              </w:rPr>
            </w:pPr>
            <w:r>
              <w:rPr>
                <w:rFonts w:hint="eastAsia" w:ascii="宋体" w:hAnsi="宋体" w:cs="宋体"/>
                <w:kern w:val="0"/>
                <w:sz w:val="24"/>
              </w:rPr>
              <w:t>信用记录要求</w:t>
            </w:r>
          </w:p>
        </w:tc>
        <w:tc>
          <w:tcPr>
            <w:tcW w:w="4026" w:type="pct"/>
            <w:vAlign w:val="center"/>
          </w:tcPr>
          <w:p w14:paraId="166312C5">
            <w:pPr>
              <w:widowControl/>
              <w:spacing w:line="420" w:lineRule="exact"/>
              <w:rPr>
                <w:rFonts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1、信用信息查询渠道：通过“信用中国”网站（www.creditchina.gov.cn）、中国政府采购网（www.ccgp.gov.cn）、“信用厦门”网站（credit.xm.gov.cn）、国家企业信用信息公示系统（www.gsxt.gov.cn）查询供应商的信用信息。</w:t>
            </w:r>
          </w:p>
          <w:p w14:paraId="71D3CA4F">
            <w:pPr>
              <w:widowControl/>
              <w:spacing w:line="420" w:lineRule="exact"/>
              <w:rPr>
                <w:rFonts w:ascii="宋体" w:hAnsi="宋体" w:cs="宋体"/>
                <w:kern w:val="0"/>
                <w:sz w:val="24"/>
              </w:rPr>
            </w:pPr>
            <w:r>
              <w:rPr>
                <w:rFonts w:hint="eastAsia" w:ascii="宋体" w:hAnsi="宋体" w:cs="宋体"/>
                <w:kern w:val="0"/>
                <w:sz w:val="24"/>
              </w:rPr>
              <w:t>2、截止时点：查询供应商截止提交响应文件当天前三年内的信用信息。</w:t>
            </w:r>
          </w:p>
          <w:p w14:paraId="6505221F">
            <w:pPr>
              <w:widowControl/>
              <w:spacing w:line="420" w:lineRule="exact"/>
              <w:rPr>
                <w:rFonts w:ascii="宋体" w:hAnsi="宋体" w:cs="宋体"/>
                <w:kern w:val="0"/>
                <w:sz w:val="24"/>
              </w:rPr>
            </w:pPr>
            <w:r>
              <w:rPr>
                <w:rFonts w:hint="eastAsia" w:ascii="宋体" w:hAnsi="宋体" w:cs="宋体"/>
                <w:kern w:val="0"/>
                <w:sz w:val="24"/>
              </w:rPr>
              <w:t xml:space="preserve">3、查询记录和证据留存方式：将查询结果打印后随项目档案一并存档。 </w:t>
            </w:r>
          </w:p>
          <w:p w14:paraId="10FAEEFC">
            <w:pPr>
              <w:widowControl/>
              <w:spacing w:line="420" w:lineRule="exact"/>
              <w:rPr>
                <w:rFonts w:ascii="宋体" w:hAnsi="宋体" w:cs="宋体"/>
                <w:kern w:val="0"/>
                <w:sz w:val="24"/>
              </w:rPr>
            </w:pPr>
            <w:r>
              <w:rPr>
                <w:rFonts w:hint="eastAsia" w:ascii="宋体" w:hAnsi="宋体" w:cs="宋体"/>
                <w:kern w:val="0"/>
                <w:sz w:val="24"/>
              </w:rPr>
              <w:t>4、信用信息的使用规则：</w:t>
            </w:r>
          </w:p>
          <w:p w14:paraId="05AEE65C">
            <w:pPr>
              <w:widowControl/>
              <w:spacing w:line="420" w:lineRule="exact"/>
              <w:rPr>
                <w:rFonts w:ascii="宋体" w:hAnsi="宋体" w:cs="宋体"/>
                <w:kern w:val="0"/>
                <w:sz w:val="24"/>
              </w:rPr>
            </w:pPr>
            <w:r>
              <w:rPr>
                <w:rFonts w:hint="eastAsia" w:ascii="宋体" w:hAnsi="宋体" w:cs="宋体"/>
                <w:kern w:val="0"/>
                <w:sz w:val="24"/>
              </w:rPr>
              <w:t>（1）查询结果显示供应商存在以下情形之一的，其资格审查不合格：</w:t>
            </w:r>
          </w:p>
          <w:p w14:paraId="21C7FC5D">
            <w:pPr>
              <w:widowControl/>
              <w:spacing w:line="420" w:lineRule="exact"/>
              <w:rPr>
                <w:rFonts w:ascii="宋体" w:hAnsi="宋体" w:cs="宋体"/>
                <w:kern w:val="0"/>
                <w:sz w:val="24"/>
              </w:rPr>
            </w:pPr>
            <w:r>
              <w:rPr>
                <w:rFonts w:hint="eastAsia" w:ascii="宋体" w:hAnsi="宋体" w:cs="宋体"/>
                <w:kern w:val="0"/>
                <w:sz w:val="24"/>
              </w:rPr>
              <w:t>①被“中国政府采购网”列入“政府采购严重违法失信行为信用记录”名单的；</w:t>
            </w:r>
          </w:p>
          <w:p w14:paraId="10294452">
            <w:pPr>
              <w:widowControl/>
              <w:spacing w:line="420" w:lineRule="exact"/>
              <w:rPr>
                <w:rFonts w:ascii="宋体" w:hAnsi="宋体" w:cs="宋体"/>
                <w:kern w:val="0"/>
                <w:sz w:val="24"/>
              </w:rPr>
            </w:pPr>
            <w:r>
              <w:rPr>
                <w:rFonts w:hint="eastAsia" w:ascii="宋体" w:hAnsi="宋体" w:cs="宋体"/>
                <w:kern w:val="0"/>
                <w:sz w:val="24"/>
              </w:rPr>
              <w:t>②被“信用中国”网站列入“失信被执行人”名单、“税收违法黑名单”的；</w:t>
            </w:r>
          </w:p>
          <w:p w14:paraId="1A2EAAAC">
            <w:pPr>
              <w:widowControl/>
              <w:spacing w:line="420" w:lineRule="exact"/>
              <w:rPr>
                <w:rFonts w:ascii="宋体" w:hAnsi="宋体" w:cs="宋体"/>
                <w:kern w:val="0"/>
                <w:sz w:val="24"/>
              </w:rPr>
            </w:pPr>
            <w:r>
              <w:rPr>
                <w:rFonts w:hint="eastAsia" w:ascii="宋体" w:hAnsi="宋体" w:cs="宋体"/>
                <w:kern w:val="0"/>
                <w:sz w:val="24"/>
              </w:rPr>
              <w:t>③被“信用厦门”网站列入“失信被执行人”名单、“地方性黑名单”的；</w:t>
            </w:r>
          </w:p>
          <w:p w14:paraId="0B565AC2">
            <w:pPr>
              <w:widowControl/>
              <w:spacing w:line="420" w:lineRule="exact"/>
              <w:rPr>
                <w:rFonts w:ascii="宋体" w:hAnsi="宋体" w:cs="宋体"/>
                <w:kern w:val="0"/>
                <w:sz w:val="24"/>
              </w:rPr>
            </w:pPr>
            <w:r>
              <w:rPr>
                <w:rFonts w:hint="eastAsia" w:ascii="宋体" w:hAnsi="宋体" w:cs="宋体"/>
                <w:kern w:val="0"/>
                <w:sz w:val="24"/>
              </w:rPr>
              <w:t>④被“国家企业信用信息公示系统” 列入“严重违法失信企业名单（黑名单）”的。</w:t>
            </w:r>
          </w:p>
          <w:p w14:paraId="0AE488E4">
            <w:pPr>
              <w:widowControl/>
              <w:spacing w:line="420" w:lineRule="exact"/>
              <w:rPr>
                <w:rFonts w:ascii="宋体" w:hAnsi="宋体" w:cs="宋体"/>
                <w:kern w:val="0"/>
                <w:sz w:val="24"/>
              </w:rPr>
            </w:pPr>
            <w:r>
              <w:rPr>
                <w:rFonts w:hint="eastAsia" w:ascii="宋体" w:hAnsi="宋体" w:cs="宋体"/>
                <w:kern w:val="0"/>
                <w:sz w:val="24"/>
              </w:rPr>
              <w:t>（2）信用信息查询仅以资格审查时通过本条款规定网站的查询结果为准，除以上规定外，其他时间或其他网站的查询信息均不作为审查的依据。</w:t>
            </w:r>
          </w:p>
          <w:p w14:paraId="7C644015">
            <w:pPr>
              <w:widowControl/>
              <w:spacing w:line="420" w:lineRule="exact"/>
              <w:rPr>
                <w:rFonts w:ascii="宋体" w:hAnsi="宋体" w:cs="宋体"/>
                <w:kern w:val="0"/>
                <w:sz w:val="24"/>
              </w:rPr>
            </w:pPr>
            <w:r>
              <w:rPr>
                <w:rFonts w:hint="eastAsia" w:ascii="宋体" w:hAnsi="宋体" w:cs="宋体"/>
                <w:kern w:val="0"/>
                <w:sz w:val="24"/>
              </w:rPr>
              <w:t>（3）联合体成员存在以上情形的，联合体资格审查不合格。</w:t>
            </w:r>
          </w:p>
          <w:p w14:paraId="2CFB5ABE">
            <w:pPr>
              <w:widowControl/>
              <w:spacing w:line="420" w:lineRule="exact"/>
              <w:rPr>
                <w:rFonts w:ascii="宋体" w:hAnsi="宋体" w:cs="宋体"/>
                <w:kern w:val="0"/>
                <w:sz w:val="24"/>
              </w:rPr>
            </w:pPr>
            <w:r>
              <w:rPr>
                <w:rFonts w:hint="eastAsia" w:ascii="宋体" w:hAnsi="宋体" w:cs="宋体"/>
                <w:kern w:val="0"/>
                <w:sz w:val="24"/>
              </w:rPr>
              <w:t>5、供应商无需提供信用信息查询结果。若供应商自行提供查询结果的，仍以评审当天查询结果为准。</w:t>
            </w:r>
          </w:p>
        </w:tc>
      </w:tr>
    </w:tbl>
    <w:p w14:paraId="4EB5E6D9">
      <w:pPr>
        <w:widowControl/>
        <w:jc w:val="left"/>
        <w:rPr>
          <w:rFonts w:ascii="黑体" w:hAnsi="黑体" w:eastAsia="黑体"/>
          <w:b/>
          <w:bCs/>
          <w:kern w:val="0"/>
          <w:sz w:val="32"/>
          <w:szCs w:val="44"/>
        </w:rPr>
      </w:pPr>
      <w:r>
        <w:rPr>
          <w:rFonts w:ascii="黑体" w:hAnsi="黑体"/>
        </w:rPr>
        <w:br w:type="page"/>
      </w:r>
    </w:p>
    <w:p w14:paraId="3BDDA303">
      <w:pPr>
        <w:pStyle w:val="4"/>
        <w:rPr>
          <w:rFonts w:ascii="宋体" w:hAnsi="宋体"/>
          <w:kern w:val="0"/>
          <w:sz w:val="24"/>
        </w:rPr>
      </w:pPr>
      <w:bookmarkStart w:id="0" w:name="_Toc154483093"/>
      <w:r>
        <w:rPr>
          <w:kern w:val="0"/>
          <w:szCs w:val="21"/>
        </w:rPr>
        <w:t>评审的标准和方法</w:t>
      </w:r>
      <w:bookmarkEnd w:id="0"/>
    </w:p>
    <w:p w14:paraId="40C37E3C">
      <w:pPr>
        <w:widowControl/>
        <w:spacing w:before="120" w:beforeLines="50" w:after="120" w:afterLines="50" w:line="360" w:lineRule="auto"/>
        <w:jc w:val="center"/>
        <w:rPr>
          <w:rFonts w:ascii="宋体" w:hAnsi="宋体" w:cs="宋体"/>
          <w:kern w:val="0"/>
          <w:sz w:val="28"/>
          <w:szCs w:val="28"/>
        </w:rPr>
      </w:pPr>
      <w:r>
        <w:rPr>
          <w:rFonts w:ascii="宋体" w:hAnsi="宋体" w:cs="宋体"/>
          <w:b/>
          <w:bCs/>
          <w:kern w:val="0"/>
          <w:sz w:val="28"/>
          <w:szCs w:val="28"/>
        </w:rPr>
        <w:t>一、磋商小组</w:t>
      </w:r>
    </w:p>
    <w:p w14:paraId="26CE9CF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1.1采购人根据项目的特点依法组建</w:t>
      </w:r>
      <w:r>
        <w:rPr>
          <w:rFonts w:hint="eastAsia" w:cs="宋体" w:asciiTheme="minorEastAsia" w:hAnsiTheme="minorEastAsia" w:eastAsiaTheme="minorEastAsia"/>
          <w:kern w:val="0"/>
          <w:sz w:val="24"/>
          <w:lang w:eastAsia="zh-CN"/>
        </w:rPr>
        <w:t>采购</w:t>
      </w:r>
      <w:r>
        <w:rPr>
          <w:rFonts w:cs="宋体" w:asciiTheme="minorEastAsia" w:hAnsiTheme="minorEastAsia" w:eastAsiaTheme="minorEastAsia"/>
          <w:kern w:val="0"/>
          <w:sz w:val="24"/>
        </w:rPr>
        <w:t>磋商小组。</w:t>
      </w:r>
    </w:p>
    <w:p w14:paraId="5F68690D">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1.2磋商小组由采购人</w:t>
      </w:r>
      <w:r>
        <w:rPr>
          <w:rFonts w:hint="eastAsia" w:cs="宋体" w:asciiTheme="minorEastAsia" w:hAnsiTheme="minorEastAsia" w:eastAsiaTheme="minorEastAsia"/>
          <w:kern w:val="0"/>
          <w:sz w:val="24"/>
          <w:lang w:eastAsia="zh-CN"/>
        </w:rPr>
        <w:t>邀请相关人员</w:t>
      </w:r>
      <w:r>
        <w:rPr>
          <w:rFonts w:cs="宋体" w:asciiTheme="minorEastAsia" w:hAnsiTheme="minorEastAsia" w:eastAsiaTheme="minorEastAsia"/>
          <w:kern w:val="0"/>
          <w:sz w:val="24"/>
        </w:rPr>
        <w:t>组成。</w:t>
      </w:r>
    </w:p>
    <w:p w14:paraId="4392EFD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1.3磋商小组负责具体磋商和评审事务，并按照下列原则依法独立履行有关职责：</w:t>
      </w:r>
    </w:p>
    <w:p w14:paraId="7707D5F5">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1.3.1评审应保护国家利益、社会公共利益和各方当事人合法权益，提高采购效益，保证项目质量。</w:t>
      </w:r>
    </w:p>
    <w:p w14:paraId="02A80375">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1.3.2评审应遵循公平、公正、科学、严谨和择优原则。</w:t>
      </w:r>
    </w:p>
    <w:p w14:paraId="02993EE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1.3.3评审的依据是磋商文件和响应文件，磋商文件中没有规定的评审标准不得作为评审依据。</w:t>
      </w:r>
    </w:p>
    <w:p w14:paraId="4C0EDB84">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1.3.4磋商小组应按照磋商文件规定推荐成交候选供应商或根据采购人的授权确定成交供应商。</w:t>
      </w:r>
    </w:p>
    <w:p w14:paraId="71083F3F">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1.3.5评审应遵守下列评审纪律：</w:t>
      </w:r>
    </w:p>
    <w:p w14:paraId="646F467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评审情况不得私自外泄，有关信息由采购人或其委托的代理机构统一对外发布。</w:t>
      </w:r>
    </w:p>
    <w:p w14:paraId="1BEE9FA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对采购人或供应商提供的要求保密的资料，不得摘记翻印和外传。</w:t>
      </w:r>
    </w:p>
    <w:p w14:paraId="2C6F25B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不得收受供应商或有关人员的任何礼物，不得串联鼓动其他人袒护某供应商。若与供应商存在利害关系，则应主动声明并回避。</w:t>
      </w:r>
    </w:p>
    <w:p w14:paraId="3F063D0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全体磋商小组成员应按照磋商文件规定进行评审，一切认定事项应查有实据且不得弄虚作假。</w:t>
      </w:r>
    </w:p>
    <w:p w14:paraId="6D60698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评审中应充分发扬民主，推荐成交供应商候选人或根据采购人授权确定成交供应商后要服从评审报告。</w:t>
      </w:r>
      <w:r>
        <w:rPr>
          <w:rFonts w:ascii="宋体" w:hAnsi="宋体" w:cs="宋体"/>
          <w:kern w:val="0"/>
          <w:sz w:val="16"/>
          <w:szCs w:val="16"/>
        </w:rPr>
        <w:t> </w:t>
      </w:r>
    </w:p>
    <w:p w14:paraId="65C1FA25">
      <w:pPr>
        <w:widowControl/>
        <w:spacing w:before="120" w:beforeLines="50" w:after="120" w:afterLines="50" w:line="360" w:lineRule="auto"/>
        <w:jc w:val="center"/>
        <w:rPr>
          <w:rFonts w:ascii="宋体" w:hAnsi="宋体" w:cs="宋体"/>
          <w:b/>
          <w:bCs/>
          <w:kern w:val="0"/>
          <w:sz w:val="28"/>
          <w:szCs w:val="28"/>
        </w:rPr>
      </w:pPr>
      <w:r>
        <w:rPr>
          <w:rFonts w:ascii="宋体" w:hAnsi="宋体" w:cs="宋体"/>
          <w:b/>
          <w:bCs/>
          <w:kern w:val="0"/>
          <w:sz w:val="28"/>
          <w:szCs w:val="28"/>
        </w:rPr>
        <w:t>二、综合评分的标准和方法</w:t>
      </w:r>
    </w:p>
    <w:p w14:paraId="5DA64B96">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.1磋商小组将采用综合评分法对提交最后报价的合格供应商的响应文件和报价进行综合评分。具体综合评分的标准和方法如下：</w:t>
      </w:r>
    </w:p>
    <w:p w14:paraId="4FAE93C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.1磋商小组将对相应合同包提交最后报价的合格供应商从技术、商务及报价部分分别进行评议并评分，并汇总出技术、商务及报价部分的综合得分。</w:t>
      </w:r>
    </w:p>
    <w:p w14:paraId="776834C6">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.2具体评审标准和方法：</w:t>
      </w:r>
    </w:p>
    <w:p w14:paraId="73BD76F4">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（1）响应文件满足磋商文件全部实质性要求，且按照评审因素的量化指标综合评审总得分从高到低顺序推荐3名以上成交候选供应商，其中评审总得分最高的供应商为第一成交候选供应商。</w:t>
      </w:r>
    </w:p>
    <w:p w14:paraId="4689658D">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每个供应商的评审总得分FA＝F1＋F2＋F3＋F4（若有），其中：F1指价格项评审因素得分、F2指技术项评审因素得分、F3指商务项评审因素得分，F4为加分项（即优先类节能产品、环境标志产品在采购活动中可享有的加分优惠）。</w:t>
      </w:r>
    </w:p>
    <w:p w14:paraId="2009B64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（3）各项评审因素的设置如下：</w:t>
      </w:r>
    </w:p>
    <w:p w14:paraId="5E6479B5">
      <w:pPr>
        <w:widowControl/>
        <w:spacing w:line="360" w:lineRule="auto"/>
        <w:ind w:firstLine="482" w:firstLineChars="200"/>
        <w:jc w:val="left"/>
        <w:rPr>
          <w:rFonts w:ascii="宋体" w:hAnsi="宋体" w:eastAsia="宋体" w:cs="宋体"/>
          <w:kern w:val="0"/>
          <w:sz w:val="24"/>
        </w:rPr>
      </w:pPr>
      <w:r>
        <w:rPr>
          <w:rFonts w:ascii="宋体" w:hAnsi="宋体" w:eastAsia="宋体" w:cs="宋体"/>
          <w:b/>
          <w:bCs/>
          <w:kern w:val="0"/>
          <w:sz w:val="24"/>
        </w:rPr>
        <w:t>（一）技术部分评分</w:t>
      </w:r>
      <w:r>
        <w:rPr>
          <w:rFonts w:hint="eastAsia" w:ascii="宋体" w:hAnsi="宋体" w:eastAsia="宋体" w:cs="宋体"/>
          <w:b/>
          <w:bCs/>
          <w:kern w:val="0"/>
          <w:sz w:val="24"/>
        </w:rPr>
        <w:t>F2：</w:t>
      </w:r>
      <w:r>
        <w:rPr>
          <w:rFonts w:ascii="宋体" w:hAnsi="宋体" w:eastAsia="宋体" w:cs="宋体"/>
          <w:b/>
          <w:bCs/>
          <w:kern w:val="0"/>
          <w:sz w:val="24"/>
        </w:rPr>
        <w:t>满分</w:t>
      </w:r>
      <w:r>
        <w:rPr>
          <w:rFonts w:hint="eastAsia" w:ascii="宋体" w:hAnsi="宋体" w:eastAsia="宋体" w:cs="宋体"/>
          <w:b/>
          <w:bCs/>
          <w:kern w:val="0"/>
          <w:sz w:val="24"/>
          <w:u w:val="single"/>
        </w:rPr>
        <w:t xml:space="preserve"> </w:t>
      </w:r>
      <w:r>
        <w:rPr>
          <w:rFonts w:ascii="宋体" w:hAnsi="宋体" w:eastAsia="宋体" w:cs="宋体"/>
          <w:b/>
          <w:bCs/>
          <w:kern w:val="0"/>
          <w:sz w:val="24"/>
          <w:u w:val="single"/>
        </w:rPr>
        <w:t>60</w:t>
      </w:r>
      <w:r>
        <w:rPr>
          <w:rFonts w:hint="eastAsia" w:ascii="宋体" w:hAnsi="宋体" w:eastAsia="宋体" w:cs="宋体"/>
          <w:b/>
          <w:bCs/>
          <w:kern w:val="0"/>
          <w:sz w:val="24"/>
          <w:u w:val="single"/>
        </w:rPr>
        <w:t xml:space="preserve"> </w:t>
      </w:r>
      <w:r>
        <w:rPr>
          <w:rFonts w:ascii="宋体" w:hAnsi="宋体" w:eastAsia="宋体" w:cs="宋体"/>
          <w:b/>
          <w:bCs/>
          <w:kern w:val="0"/>
          <w:sz w:val="24"/>
        </w:rPr>
        <w:t>分</w:t>
      </w:r>
    </w:p>
    <w:tbl>
      <w:tblPr>
        <w:tblStyle w:val="11"/>
        <w:tblW w:w="0" w:type="auto"/>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0" w:type="dxa"/>
          <w:left w:w="0" w:type="dxa"/>
          <w:bottom w:w="0" w:type="dxa"/>
          <w:right w:w="0" w:type="dxa"/>
        </w:tblCellMar>
      </w:tblPr>
      <w:tblGrid>
        <w:gridCol w:w="1346"/>
        <w:gridCol w:w="1346"/>
        <w:gridCol w:w="6092"/>
      </w:tblGrid>
      <w:tr w14:paraId="22A29422">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993C15D">
            <w:pPr>
              <w:widowControl/>
              <w:spacing w:line="420" w:lineRule="exact"/>
              <w:jc w:val="center"/>
              <w:rPr>
                <w:rFonts w:ascii="宋体" w:hAnsi="宋体" w:eastAsia="宋体" w:cs="宋体"/>
                <w:kern w:val="0"/>
                <w:sz w:val="24"/>
              </w:rPr>
            </w:pPr>
            <w:r>
              <w:rPr>
                <w:rFonts w:ascii="宋体" w:hAnsi="宋体" w:eastAsia="宋体" w:cs="宋体"/>
                <w:kern w:val="0"/>
                <w:sz w:val="24"/>
              </w:rPr>
              <w:t>评</w:t>
            </w:r>
            <w:r>
              <w:rPr>
                <w:rFonts w:hint="eastAsia" w:ascii="宋体" w:hAnsi="宋体" w:eastAsia="宋体" w:cs="宋体"/>
                <w:kern w:val="0"/>
                <w:sz w:val="24"/>
              </w:rPr>
              <w:t>审</w:t>
            </w:r>
            <w:r>
              <w:rPr>
                <w:rFonts w:ascii="宋体" w:hAnsi="宋体" w:eastAsia="宋体" w:cs="宋体"/>
                <w:kern w:val="0"/>
                <w:sz w:val="24"/>
              </w:rPr>
              <w:t>项目</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E969F61">
            <w:pPr>
              <w:widowControl/>
              <w:spacing w:line="420" w:lineRule="exact"/>
              <w:jc w:val="center"/>
              <w:rPr>
                <w:rFonts w:ascii="宋体" w:hAnsi="宋体" w:eastAsia="宋体" w:cs="宋体"/>
                <w:kern w:val="0"/>
                <w:sz w:val="24"/>
              </w:rPr>
            </w:pPr>
            <w:r>
              <w:rPr>
                <w:rFonts w:ascii="宋体" w:hAnsi="宋体" w:eastAsia="宋体" w:cs="宋体"/>
                <w:kern w:val="0"/>
                <w:sz w:val="24"/>
              </w:rPr>
              <w:t>评</w:t>
            </w:r>
            <w:r>
              <w:rPr>
                <w:rFonts w:hint="eastAsia" w:ascii="宋体" w:hAnsi="宋体" w:eastAsia="宋体" w:cs="宋体"/>
                <w:kern w:val="0"/>
                <w:sz w:val="24"/>
              </w:rPr>
              <w:t>审</w:t>
            </w:r>
            <w:r>
              <w:rPr>
                <w:rFonts w:ascii="宋体" w:hAnsi="宋体" w:eastAsia="宋体" w:cs="宋体"/>
                <w:kern w:val="0"/>
                <w:sz w:val="24"/>
              </w:rPr>
              <w:t>分值</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3E8B61C">
            <w:pPr>
              <w:widowControl/>
              <w:spacing w:line="420" w:lineRule="exact"/>
              <w:jc w:val="center"/>
              <w:rPr>
                <w:rFonts w:ascii="宋体" w:hAnsi="宋体" w:eastAsia="宋体" w:cs="宋体"/>
                <w:kern w:val="0"/>
                <w:sz w:val="24"/>
              </w:rPr>
            </w:pPr>
            <w:r>
              <w:rPr>
                <w:rFonts w:ascii="宋体" w:hAnsi="宋体" w:eastAsia="宋体" w:cs="宋体"/>
                <w:kern w:val="0"/>
                <w:sz w:val="24"/>
              </w:rPr>
              <w:t>评</w:t>
            </w:r>
            <w:r>
              <w:rPr>
                <w:rFonts w:hint="eastAsia" w:ascii="宋体" w:hAnsi="宋体" w:eastAsia="宋体" w:cs="宋体"/>
                <w:kern w:val="0"/>
                <w:sz w:val="24"/>
              </w:rPr>
              <w:t>审</w:t>
            </w:r>
            <w:r>
              <w:rPr>
                <w:rFonts w:ascii="宋体" w:hAnsi="宋体" w:eastAsia="宋体" w:cs="宋体"/>
                <w:kern w:val="0"/>
                <w:sz w:val="24"/>
              </w:rPr>
              <w:t>方法描述</w:t>
            </w:r>
          </w:p>
        </w:tc>
      </w:tr>
      <w:tr w14:paraId="2234BF0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9E7C8DE">
            <w:pPr>
              <w:pStyle w:val="20"/>
              <w:spacing w:line="420" w:lineRule="exact"/>
              <w:jc w:val="center"/>
              <w:rPr>
                <w:rFonts w:ascii="宋体" w:hAnsi="宋体" w:eastAsia="宋体" w:cs="Arial"/>
                <w:kern w:val="10"/>
                <w:sz w:val="24"/>
              </w:rPr>
            </w:pPr>
            <w:r>
              <w:rPr>
                <w:rFonts w:hint="eastAsia" w:ascii="宋体" w:hAnsi="宋体" w:eastAsia="宋体"/>
                <w:sz w:val="24"/>
              </w:rPr>
              <w:t>1</w:t>
            </w:r>
            <w:r>
              <w:rPr>
                <w:rFonts w:ascii="宋体" w:hAnsi="宋体" w:eastAsia="宋体"/>
                <w:sz w:val="24"/>
              </w:rPr>
              <w:t>-1</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973FA3E">
            <w:pPr>
              <w:spacing w:line="420" w:lineRule="exact"/>
              <w:jc w:val="center"/>
              <w:rPr>
                <w:rFonts w:ascii="宋体" w:hAnsi="宋体" w:eastAsia="宋体"/>
                <w:sz w:val="24"/>
              </w:rPr>
            </w:pPr>
            <w:r>
              <w:rPr>
                <w:rFonts w:hint="eastAsia" w:ascii="宋体" w:hAnsi="宋体" w:eastAsia="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6689F823">
            <w:pPr>
              <w:widowControl/>
              <w:spacing w:line="420" w:lineRule="exact"/>
              <w:jc w:val="left"/>
              <w:rPr>
                <w:rFonts w:ascii="宋体" w:hAnsi="宋体" w:eastAsia="宋体" w:cs="Arial"/>
                <w:sz w:val="24"/>
              </w:rPr>
            </w:pPr>
            <w:r>
              <w:rPr>
                <w:rFonts w:hint="eastAsia" w:ascii="宋体" w:hAnsi="宋体" w:eastAsia="宋体" w:cs="Arial"/>
                <w:sz w:val="24"/>
              </w:rPr>
              <w:t>根据供应商对本项目的物业服务特点分析情况进行评价：</w:t>
            </w:r>
          </w:p>
          <w:p w14:paraId="1D9EA063">
            <w:pPr>
              <w:widowControl/>
              <w:spacing w:line="420" w:lineRule="exact"/>
              <w:jc w:val="left"/>
              <w:rPr>
                <w:rFonts w:ascii="宋体" w:hAnsi="宋体" w:eastAsia="宋体" w:cs="Arial"/>
                <w:sz w:val="24"/>
              </w:rPr>
            </w:pPr>
            <w:r>
              <w:rPr>
                <w:rFonts w:hint="eastAsia" w:ascii="宋体" w:hAnsi="宋体" w:eastAsia="宋体" w:cs="Arial"/>
                <w:sz w:val="24"/>
              </w:rPr>
              <w:t>①对服务的整体设想、服务定位、服务目标均做出完整响应，内容符合本项目服务需求的得2分；</w:t>
            </w:r>
          </w:p>
          <w:p w14:paraId="5C296858">
            <w:pPr>
              <w:widowControl/>
              <w:spacing w:line="420" w:lineRule="exact"/>
              <w:jc w:val="left"/>
              <w:rPr>
                <w:rFonts w:ascii="宋体" w:hAnsi="宋体" w:eastAsia="宋体" w:cs="宋体"/>
                <w:kern w:val="0"/>
                <w:sz w:val="24"/>
              </w:rPr>
            </w:pPr>
            <w:r>
              <w:rPr>
                <w:rFonts w:hint="eastAsia" w:ascii="宋体" w:hAnsi="宋体" w:eastAsia="宋体" w:cs="宋体"/>
                <w:kern w:val="0"/>
                <w:sz w:val="24"/>
              </w:rPr>
              <w:t>②在满足①的基础上，内容结构严谨，在服务过程中能在既定工作方案的基础上做到过程控制与调整，提高服务质量和采购人满意度的得3分；</w:t>
            </w:r>
          </w:p>
          <w:p w14:paraId="6ECB67EC">
            <w:pPr>
              <w:spacing w:line="420" w:lineRule="exact"/>
              <w:rPr>
                <w:rFonts w:ascii="宋体" w:hAnsi="宋体" w:eastAsia="宋体"/>
                <w:sz w:val="24"/>
              </w:rPr>
            </w:pPr>
            <w:r>
              <w:rPr>
                <w:rFonts w:hint="eastAsia" w:ascii="宋体" w:hAnsi="宋体" w:eastAsia="宋体" w:cs="宋体"/>
                <w:kern w:val="0"/>
                <w:sz w:val="24"/>
              </w:rPr>
              <w:t>③未提供或</w:t>
            </w:r>
            <w:r>
              <w:rPr>
                <w:rFonts w:hint="eastAsia" w:ascii="宋体" w:hAnsi="宋体" w:eastAsia="宋体" w:cs="宋体"/>
                <w:color w:val="000000"/>
                <w:kern w:val="0"/>
                <w:sz w:val="24"/>
              </w:rPr>
              <w:t>不符合上述情况的</w:t>
            </w:r>
            <w:r>
              <w:rPr>
                <w:rFonts w:hint="eastAsia" w:ascii="宋体" w:hAnsi="宋体" w:eastAsia="宋体" w:cs="宋体"/>
                <w:kern w:val="0"/>
                <w:sz w:val="24"/>
              </w:rPr>
              <w:t>不得分。</w:t>
            </w:r>
          </w:p>
        </w:tc>
      </w:tr>
      <w:tr w14:paraId="330FF39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40F3B55">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-2</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DEC2E12">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5C4E99FC">
            <w:pPr>
              <w:spacing w:line="420" w:lineRule="exact"/>
              <w:rPr>
                <w:rFonts w:ascii="宋体" w:hAnsi="宋体" w:eastAsia="宋体"/>
                <w:sz w:val="24"/>
              </w:rPr>
            </w:pPr>
            <w:r>
              <w:rPr>
                <w:rFonts w:hint="eastAsia" w:ascii="宋体" w:hAnsi="宋体" w:eastAsia="宋体"/>
                <w:sz w:val="24"/>
              </w:rPr>
              <w:t>根据供应商提供的现场踏勘报告进行评价：</w:t>
            </w:r>
            <w:r>
              <w:rPr>
                <w:rFonts w:ascii="宋体" w:hAnsi="宋体" w:eastAsia="宋体"/>
                <w:sz w:val="24"/>
              </w:rPr>
              <w:t xml:space="preserve"> </w:t>
            </w:r>
          </w:p>
          <w:p w14:paraId="4D20AC43">
            <w:pPr>
              <w:spacing w:line="420" w:lineRule="exact"/>
              <w:rPr>
                <w:rFonts w:ascii="宋体" w:hAnsi="宋体" w:eastAsia="宋体"/>
                <w:sz w:val="24"/>
              </w:rPr>
            </w:pPr>
            <w:r>
              <w:rPr>
                <w:rFonts w:hint="eastAsia" w:ascii="宋体" w:hAnsi="宋体" w:eastAsia="宋体"/>
                <w:sz w:val="24"/>
              </w:rPr>
              <w:t>①</w:t>
            </w:r>
            <w:r>
              <w:rPr>
                <w:rFonts w:hint="eastAsia" w:ascii="宋体" w:hAnsi="宋体" w:eastAsia="宋体" w:cs="宋体"/>
                <w:bCs/>
                <w:kern w:val="0"/>
                <w:sz w:val="24"/>
              </w:rPr>
              <w:t>有提供现场踏勘报告</w:t>
            </w:r>
            <w:r>
              <w:rPr>
                <w:rFonts w:hint="eastAsia" w:ascii="宋体" w:hAnsi="宋体" w:eastAsia="宋体"/>
                <w:sz w:val="24"/>
              </w:rPr>
              <w:t>，并提供现场照片的得2分；</w:t>
            </w:r>
          </w:p>
          <w:p w14:paraId="41617C7D">
            <w:pPr>
              <w:spacing w:line="420" w:lineRule="exact"/>
              <w:rPr>
                <w:rFonts w:ascii="宋体" w:hAnsi="宋体" w:eastAsia="宋体"/>
                <w:sz w:val="24"/>
              </w:rPr>
            </w:pPr>
            <w:r>
              <w:rPr>
                <w:rFonts w:hint="eastAsia" w:ascii="宋体" w:hAnsi="宋体" w:eastAsia="宋体"/>
                <w:sz w:val="24"/>
              </w:rPr>
              <w:t>②在满足①的基础上，有详细进行踏勘，能提出现阶段存在的主要问题的得3分；</w:t>
            </w:r>
          </w:p>
          <w:p w14:paraId="3C7E0A3F">
            <w:pPr>
              <w:spacing w:line="420" w:lineRule="exact"/>
              <w:rPr>
                <w:rFonts w:ascii="宋体" w:hAnsi="宋体" w:eastAsia="宋体"/>
                <w:sz w:val="24"/>
              </w:rPr>
            </w:pPr>
            <w:r>
              <w:rPr>
                <w:rFonts w:hint="eastAsia" w:ascii="宋体" w:hAnsi="宋体" w:eastAsia="宋体"/>
                <w:sz w:val="24"/>
              </w:rPr>
              <w:t>③未提供或</w:t>
            </w:r>
            <w:r>
              <w:rPr>
                <w:rFonts w:hint="eastAsia" w:ascii="宋体" w:hAnsi="宋体" w:eastAsia="宋体" w:cs="宋体"/>
                <w:color w:val="000000"/>
                <w:kern w:val="0"/>
                <w:sz w:val="24"/>
              </w:rPr>
              <w:t>不符合上述情况</w:t>
            </w:r>
            <w:r>
              <w:rPr>
                <w:rFonts w:hint="eastAsia" w:ascii="宋体" w:hAnsi="宋体" w:eastAsia="宋体"/>
                <w:sz w:val="24"/>
              </w:rPr>
              <w:t>的不得分。</w:t>
            </w:r>
          </w:p>
        </w:tc>
      </w:tr>
      <w:tr w14:paraId="0DF25BC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A168EDC">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-3</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4521966">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72B9E2B4">
            <w:pPr>
              <w:adjustRightInd w:val="0"/>
              <w:spacing w:line="420" w:lineRule="exact"/>
              <w:rPr>
                <w:rFonts w:ascii="宋体" w:hAnsi="宋体" w:eastAsia="宋体"/>
                <w:sz w:val="24"/>
              </w:rPr>
            </w:pPr>
            <w:r>
              <w:rPr>
                <w:rFonts w:hint="eastAsia" w:ascii="宋体" w:hAnsi="宋体" w:eastAsia="宋体"/>
                <w:sz w:val="24"/>
              </w:rPr>
              <w:t>根据供应商提供的项目管理规章制度（内容包含但不限于：考核制度、监督机制、信息反馈渠道及处理机制、档案管理制度等）进行评价：</w:t>
            </w:r>
          </w:p>
          <w:p w14:paraId="0CA6B0E4">
            <w:pPr>
              <w:adjustRightInd w:val="0"/>
              <w:spacing w:line="420" w:lineRule="exact"/>
              <w:rPr>
                <w:rFonts w:ascii="宋体" w:hAnsi="宋体" w:eastAsia="宋体"/>
                <w:sz w:val="24"/>
              </w:rPr>
            </w:pPr>
            <w:r>
              <w:rPr>
                <w:rFonts w:hint="eastAsia" w:ascii="宋体" w:hAnsi="宋体" w:eastAsia="宋体"/>
                <w:sz w:val="24"/>
              </w:rPr>
              <w:t>①对上述内容均有作出响应，内容清晰、合理，符合本项目要求的得</w:t>
            </w:r>
            <w:r>
              <w:rPr>
                <w:rFonts w:ascii="宋体" w:hAnsi="宋体" w:eastAsia="宋体"/>
                <w:sz w:val="24"/>
              </w:rPr>
              <w:t>2</w:t>
            </w:r>
            <w:r>
              <w:rPr>
                <w:rFonts w:hint="eastAsia" w:ascii="宋体" w:hAnsi="宋体" w:eastAsia="宋体"/>
                <w:sz w:val="24"/>
              </w:rPr>
              <w:t>分；</w:t>
            </w:r>
          </w:p>
          <w:p w14:paraId="7F80AAC1">
            <w:pPr>
              <w:adjustRightInd w:val="0"/>
              <w:spacing w:line="420" w:lineRule="exact"/>
              <w:rPr>
                <w:rFonts w:ascii="宋体" w:hAnsi="宋体" w:eastAsia="宋体"/>
                <w:sz w:val="24"/>
              </w:rPr>
            </w:pPr>
            <w:r>
              <w:rPr>
                <w:rFonts w:hint="eastAsia" w:ascii="宋体" w:hAnsi="宋体" w:eastAsia="宋体"/>
                <w:sz w:val="24"/>
              </w:rPr>
              <w:t>②在满足①的基础上，各项制度完善、有明确</w:t>
            </w:r>
            <w:r>
              <w:rPr>
                <w:rFonts w:hint="eastAsia" w:ascii="宋体" w:hAnsi="宋体" w:eastAsia="宋体" w:cs="宋体"/>
                <w:color w:val="000000"/>
                <w:kern w:val="0"/>
                <w:sz w:val="24"/>
              </w:rPr>
              <w:t>的考核指标、沟通渠道、达到预期目标工作机制和奖惩措施，</w:t>
            </w:r>
            <w:r>
              <w:rPr>
                <w:rFonts w:hint="eastAsia" w:ascii="宋体" w:hAnsi="宋体" w:eastAsia="宋体"/>
                <w:sz w:val="24"/>
              </w:rPr>
              <w:t>档案能够及时跟踪管理的得3分；</w:t>
            </w:r>
          </w:p>
          <w:p w14:paraId="169DD175">
            <w:pPr>
              <w:adjustRightInd w:val="0"/>
              <w:spacing w:line="420" w:lineRule="exact"/>
              <w:rPr>
                <w:rFonts w:ascii="宋体" w:hAnsi="宋体" w:eastAsia="宋体"/>
                <w:sz w:val="24"/>
              </w:rPr>
            </w:pPr>
            <w:r>
              <w:rPr>
                <w:rFonts w:hint="eastAsia" w:ascii="宋体" w:hAnsi="宋体" w:eastAsia="宋体"/>
                <w:sz w:val="24"/>
              </w:rPr>
              <w:t>③未提供或不符合上述情况的得0分。</w:t>
            </w:r>
          </w:p>
        </w:tc>
      </w:tr>
      <w:tr w14:paraId="2914CAF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7909B94">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4</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BB01613">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6923A425">
            <w:pPr>
              <w:spacing w:line="420" w:lineRule="exact"/>
              <w:rPr>
                <w:rFonts w:ascii="宋体" w:hAnsi="宋体" w:eastAsia="宋体"/>
                <w:sz w:val="24"/>
              </w:rPr>
            </w:pPr>
            <w:r>
              <w:rPr>
                <w:rFonts w:hint="eastAsia" w:ascii="宋体" w:hAnsi="宋体" w:eastAsia="宋体"/>
                <w:sz w:val="24"/>
              </w:rPr>
              <w:t>根据供应商针对保洁服务要求提出的保洁服务方案（内容包含但不限于：</w:t>
            </w:r>
            <w:r>
              <w:rPr>
                <w:rFonts w:ascii="宋体" w:hAnsi="宋体" w:eastAsia="宋体" w:cs="宋体"/>
                <w:kern w:val="0"/>
                <w:sz w:val="24"/>
              </w:rPr>
              <w:t>环境卫生管理流程、保洁工作标准、保洁服务细则等）</w:t>
            </w:r>
            <w:r>
              <w:rPr>
                <w:rFonts w:hint="eastAsia" w:ascii="宋体" w:hAnsi="宋体" w:eastAsia="宋体"/>
                <w:sz w:val="24"/>
              </w:rPr>
              <w:t>进行评价：</w:t>
            </w:r>
          </w:p>
          <w:p w14:paraId="49968F65">
            <w:pPr>
              <w:spacing w:line="420" w:lineRule="exact"/>
              <w:rPr>
                <w:rFonts w:ascii="宋体" w:hAnsi="宋体" w:eastAsia="宋体"/>
                <w:sz w:val="24"/>
              </w:rPr>
            </w:pPr>
            <w:r>
              <w:rPr>
                <w:rFonts w:hint="eastAsia" w:ascii="宋体" w:hAnsi="宋体" w:eastAsia="宋体" w:cs="宋体"/>
                <w:color w:val="000000"/>
                <w:kern w:val="0"/>
                <w:sz w:val="24"/>
              </w:rPr>
              <w:t>①</w:t>
            </w:r>
            <w:r>
              <w:rPr>
                <w:rFonts w:hint="eastAsia" w:ascii="宋体" w:hAnsi="宋体" w:eastAsia="宋体"/>
                <w:sz w:val="24"/>
              </w:rPr>
              <w:t>对上述内容均有作出响应</w:t>
            </w:r>
            <w:r>
              <w:rPr>
                <w:rFonts w:hint="eastAsia" w:ascii="宋体" w:hAnsi="宋体" w:eastAsia="宋体" w:cs="宋体"/>
                <w:color w:val="000000"/>
                <w:kern w:val="0"/>
                <w:sz w:val="24"/>
              </w:rPr>
              <w:t>，</w:t>
            </w:r>
            <w:r>
              <w:rPr>
                <w:rFonts w:hint="eastAsia" w:ascii="宋体" w:hAnsi="宋体" w:eastAsia="宋体"/>
                <w:sz w:val="24"/>
              </w:rPr>
              <w:t>内容清晰、合理，符合本项目要求的</w:t>
            </w:r>
            <w:r>
              <w:rPr>
                <w:rFonts w:hint="eastAsia" w:ascii="宋体" w:hAnsi="宋体" w:eastAsia="宋体" w:cs="宋体"/>
                <w:color w:val="000000"/>
                <w:kern w:val="0"/>
                <w:sz w:val="24"/>
              </w:rPr>
              <w:t>得</w:t>
            </w:r>
            <w:r>
              <w:rPr>
                <w:rFonts w:ascii="宋体" w:hAnsi="宋体" w:eastAsia="宋体" w:cs="宋体"/>
                <w:color w:val="000000"/>
                <w:kern w:val="0"/>
                <w:sz w:val="24"/>
              </w:rPr>
              <w:t>2</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②在满足①的基础上，具有落实该项服务的工作细则、流程，突出重难点、计划措施具有针对性，有定期总结工作完善制度，有利于项目实施的得</w:t>
            </w:r>
            <w:r>
              <w:rPr>
                <w:rFonts w:ascii="宋体" w:hAnsi="宋体" w:eastAsia="宋体" w:cs="宋体"/>
                <w:color w:val="000000"/>
                <w:kern w:val="0"/>
                <w:sz w:val="24"/>
              </w:rPr>
              <w:t>3</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sz w:val="24"/>
              </w:rPr>
              <w:t>③未提供或不符合上述情况的得0分。</w:t>
            </w:r>
          </w:p>
        </w:tc>
      </w:tr>
      <w:tr w14:paraId="7CF68E42">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CB5168D">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8968631">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2123BBD">
            <w:pPr>
              <w:spacing w:line="420" w:lineRule="exact"/>
              <w:rPr>
                <w:rFonts w:ascii="宋体" w:hAnsi="宋体" w:eastAsia="宋体"/>
                <w:sz w:val="24"/>
              </w:rPr>
            </w:pPr>
            <w:r>
              <w:rPr>
                <w:rFonts w:hint="eastAsia" w:ascii="宋体" w:hAnsi="宋体" w:eastAsia="宋体" w:cs="Arial"/>
                <w:sz w:val="24"/>
              </w:rPr>
              <w:t>供应商承诺根据垃圾分类要求将各类垃圾进行分类的得3分。须提供书面承诺或明确响应，否则不得分。</w:t>
            </w:r>
          </w:p>
        </w:tc>
      </w:tr>
      <w:tr w14:paraId="5809987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F7ADF35">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6</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38957E6">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7C22399">
            <w:pPr>
              <w:widowControl/>
              <w:spacing w:line="420" w:lineRule="exact"/>
              <w:jc w:val="left"/>
              <w:rPr>
                <w:rFonts w:ascii="宋体" w:hAnsi="宋体" w:eastAsia="宋体"/>
                <w:sz w:val="24"/>
              </w:rPr>
            </w:pPr>
            <w:r>
              <w:rPr>
                <w:rFonts w:hint="eastAsia" w:ascii="宋体" w:hAnsi="宋体" w:eastAsia="宋体"/>
                <w:sz w:val="24"/>
              </w:rPr>
              <w:t>根据供应商针对保安服务要求提出的保安服务方案（内容包含但不限于：</w:t>
            </w:r>
            <w:r>
              <w:rPr>
                <w:rFonts w:hint="eastAsia" w:ascii="宋体" w:hAnsi="宋体" w:eastAsia="宋体" w:cs="宋体"/>
                <w:kern w:val="0"/>
                <w:sz w:val="24"/>
              </w:rPr>
              <w:t>门岗执勤、安全巡逻的工作流程、工作细则等）</w:t>
            </w:r>
            <w:r>
              <w:rPr>
                <w:rFonts w:hint="eastAsia" w:ascii="宋体" w:hAnsi="宋体" w:eastAsia="宋体"/>
                <w:sz w:val="24"/>
              </w:rPr>
              <w:t>进行评价：</w:t>
            </w:r>
          </w:p>
          <w:p w14:paraId="252F7E12">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①</w:t>
            </w:r>
            <w:r>
              <w:rPr>
                <w:rFonts w:hint="eastAsia" w:ascii="宋体" w:hAnsi="宋体" w:eastAsia="宋体"/>
                <w:sz w:val="24"/>
              </w:rPr>
              <w:t>对上述内容均有作出响应</w:t>
            </w:r>
            <w:r>
              <w:rPr>
                <w:rFonts w:hint="eastAsia" w:ascii="宋体" w:hAnsi="宋体" w:eastAsia="宋体" w:cs="宋体"/>
                <w:color w:val="000000"/>
                <w:kern w:val="0"/>
                <w:sz w:val="24"/>
              </w:rPr>
              <w:t>，</w:t>
            </w:r>
            <w:r>
              <w:rPr>
                <w:rFonts w:hint="eastAsia" w:ascii="宋体" w:hAnsi="宋体" w:eastAsia="宋体"/>
                <w:sz w:val="24"/>
              </w:rPr>
              <w:t>内容清晰，符合本项目要求的</w:t>
            </w:r>
            <w:r>
              <w:rPr>
                <w:rFonts w:hint="eastAsia" w:ascii="宋体" w:hAnsi="宋体" w:eastAsia="宋体" w:cs="宋体"/>
                <w:color w:val="000000"/>
                <w:kern w:val="0"/>
                <w:sz w:val="24"/>
              </w:rPr>
              <w:t>得</w:t>
            </w:r>
            <w:r>
              <w:rPr>
                <w:rFonts w:ascii="宋体" w:hAnsi="宋体" w:eastAsia="宋体" w:cs="宋体"/>
                <w:color w:val="000000"/>
                <w:kern w:val="0"/>
                <w:sz w:val="24"/>
              </w:rPr>
              <w:t>2</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②在满足①的基础上，具有落实该项服务的工作细则、流程，突出重难点、计划措施具有针对性，有利于项目实施的得</w:t>
            </w:r>
            <w:r>
              <w:rPr>
                <w:rFonts w:ascii="宋体" w:hAnsi="宋体" w:eastAsia="宋体" w:cs="宋体"/>
                <w:color w:val="000000"/>
                <w:kern w:val="0"/>
                <w:sz w:val="24"/>
              </w:rPr>
              <w:t>3</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sz w:val="24"/>
              </w:rPr>
              <w:t>③未提供或不符合上述情况的得0分。</w:t>
            </w:r>
          </w:p>
        </w:tc>
      </w:tr>
      <w:tr w14:paraId="5AF6C76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4A0D50F">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7</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8AE76D6">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F4450B4">
            <w:pPr>
              <w:widowControl/>
              <w:spacing w:line="420" w:lineRule="exact"/>
              <w:jc w:val="left"/>
              <w:rPr>
                <w:rFonts w:ascii="宋体" w:hAnsi="宋体" w:eastAsia="宋体"/>
                <w:sz w:val="24"/>
              </w:rPr>
            </w:pPr>
            <w:r>
              <w:rPr>
                <w:rFonts w:hint="eastAsia" w:ascii="宋体" w:hAnsi="宋体" w:eastAsia="宋体"/>
                <w:sz w:val="24"/>
              </w:rPr>
              <w:t>根据供应商提供的水电零星维修管理方案（内容包含但不限于</w:t>
            </w:r>
            <w:r>
              <w:rPr>
                <w:rFonts w:hint="eastAsia" w:ascii="宋体" w:hAnsi="宋体" w:eastAsia="宋体" w:cs="宋体"/>
                <w:kern w:val="0"/>
                <w:sz w:val="24"/>
              </w:rPr>
              <w:t>水电零星维修管理的流程、维修工作细则、维修质量标准等）</w:t>
            </w:r>
            <w:r>
              <w:rPr>
                <w:rFonts w:hint="eastAsia" w:ascii="宋体" w:hAnsi="宋体" w:eastAsia="宋体"/>
                <w:sz w:val="24"/>
              </w:rPr>
              <w:t>进行评价：</w:t>
            </w:r>
          </w:p>
          <w:p w14:paraId="1219232E">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①</w:t>
            </w:r>
            <w:r>
              <w:rPr>
                <w:rFonts w:hint="eastAsia" w:ascii="宋体" w:hAnsi="宋体" w:eastAsia="宋体"/>
                <w:sz w:val="24"/>
              </w:rPr>
              <w:t>对上述内容均有作出响应</w:t>
            </w:r>
            <w:r>
              <w:rPr>
                <w:rFonts w:hint="eastAsia" w:ascii="宋体" w:hAnsi="宋体" w:eastAsia="宋体" w:cs="宋体"/>
                <w:color w:val="000000"/>
                <w:kern w:val="0"/>
                <w:sz w:val="24"/>
              </w:rPr>
              <w:t>，</w:t>
            </w:r>
            <w:r>
              <w:rPr>
                <w:rFonts w:hint="eastAsia" w:ascii="宋体" w:hAnsi="宋体" w:eastAsia="宋体"/>
                <w:sz w:val="24"/>
              </w:rPr>
              <w:t>内容清晰、合理，符合本项目要求的</w:t>
            </w:r>
            <w:r>
              <w:rPr>
                <w:rFonts w:hint="eastAsia" w:ascii="宋体" w:hAnsi="宋体" w:eastAsia="宋体" w:cs="宋体"/>
                <w:color w:val="000000"/>
                <w:kern w:val="0"/>
                <w:sz w:val="24"/>
              </w:rPr>
              <w:t>得</w:t>
            </w:r>
            <w:r>
              <w:rPr>
                <w:rFonts w:ascii="宋体" w:hAnsi="宋体" w:eastAsia="宋体" w:cs="宋体"/>
                <w:color w:val="000000"/>
                <w:kern w:val="0"/>
                <w:sz w:val="24"/>
              </w:rPr>
              <w:t>2</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②在满足①的基础上，具有落实该项服务的工作细则、流程，突出重难点、计划措施具有针对性，有利于项目实施的得</w:t>
            </w:r>
            <w:r>
              <w:rPr>
                <w:rFonts w:ascii="宋体" w:hAnsi="宋体" w:eastAsia="宋体" w:cs="宋体"/>
                <w:color w:val="000000"/>
                <w:kern w:val="0"/>
                <w:sz w:val="24"/>
              </w:rPr>
              <w:t>3</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sz w:val="24"/>
              </w:rPr>
              <w:t xml:space="preserve">③未提供或不符合上述情况的得0分。 </w:t>
            </w:r>
          </w:p>
        </w:tc>
      </w:tr>
      <w:tr w14:paraId="04FFBC2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E788BE7">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8</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6CCF6A9">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861D7BE">
            <w:pPr>
              <w:widowControl/>
              <w:spacing w:line="420" w:lineRule="exact"/>
              <w:jc w:val="left"/>
              <w:rPr>
                <w:rFonts w:ascii="宋体" w:hAnsi="宋体" w:eastAsia="宋体" w:cs="宋体"/>
                <w:bCs/>
                <w:kern w:val="0"/>
                <w:sz w:val="24"/>
              </w:rPr>
            </w:pPr>
            <w:r>
              <w:rPr>
                <w:rFonts w:hint="eastAsia" w:ascii="宋体" w:hAnsi="宋体" w:eastAsia="宋体" w:cs="宋体"/>
                <w:bCs/>
                <w:kern w:val="0"/>
                <w:sz w:val="24"/>
              </w:rPr>
              <w:t>供应商提供</w:t>
            </w:r>
            <w:r>
              <w:rPr>
                <w:rFonts w:ascii="宋体" w:hAnsi="宋体" w:eastAsia="宋体" w:cs="宋体"/>
                <w:kern w:val="0"/>
                <w:sz w:val="24"/>
              </w:rPr>
              <w:t>针对本项目制定的重大活动、节假日、迎检应急预案</w:t>
            </w:r>
            <w:r>
              <w:rPr>
                <w:rFonts w:hint="eastAsia" w:ascii="宋体" w:hAnsi="宋体" w:eastAsia="宋体" w:cs="宋体"/>
                <w:bCs/>
                <w:kern w:val="0"/>
                <w:sz w:val="24"/>
              </w:rPr>
              <w:t>进行评价：</w:t>
            </w:r>
          </w:p>
          <w:p w14:paraId="00494596">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①对该项内容有专项做出响应，并提出计划措施，符合本项目要求的得</w:t>
            </w:r>
            <w:r>
              <w:rPr>
                <w:rFonts w:ascii="宋体" w:hAnsi="宋体" w:eastAsia="宋体" w:cs="宋体"/>
                <w:color w:val="000000"/>
                <w:kern w:val="0"/>
                <w:sz w:val="24"/>
              </w:rPr>
              <w:t>2</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②在满足①的基础上，有对本项目所涉及重大活动事件等考虑全面、重点突出的应对处理方案、人员补足措施的得</w:t>
            </w:r>
            <w:r>
              <w:rPr>
                <w:rFonts w:ascii="宋体" w:hAnsi="宋体" w:eastAsia="宋体" w:cs="宋体"/>
                <w:color w:val="000000"/>
                <w:kern w:val="0"/>
                <w:sz w:val="24"/>
              </w:rPr>
              <w:t>3</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③未提供或不符合上述情况的得0分。</w:t>
            </w:r>
          </w:p>
        </w:tc>
      </w:tr>
      <w:tr w14:paraId="247886E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C6B246B">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9</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D6E8A84">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1C54A142">
            <w:pPr>
              <w:widowControl/>
              <w:spacing w:line="420" w:lineRule="exact"/>
              <w:jc w:val="left"/>
              <w:rPr>
                <w:rFonts w:ascii="宋体" w:hAnsi="宋体" w:eastAsia="宋体" w:cs="宋体"/>
                <w:bCs/>
                <w:kern w:val="0"/>
                <w:sz w:val="24"/>
              </w:rPr>
            </w:pPr>
            <w:r>
              <w:rPr>
                <w:rFonts w:hint="eastAsia" w:ascii="宋体" w:hAnsi="宋体" w:eastAsia="宋体" w:cs="宋体"/>
                <w:bCs/>
                <w:kern w:val="0"/>
                <w:sz w:val="24"/>
              </w:rPr>
              <w:t>根据供应商提供的自然灾害事件</w:t>
            </w:r>
            <w:r>
              <w:rPr>
                <w:rFonts w:ascii="宋体" w:hAnsi="宋体" w:eastAsia="宋体" w:cs="宋体"/>
                <w:bCs/>
                <w:kern w:val="0"/>
                <w:sz w:val="24"/>
              </w:rPr>
              <w:t>（如</w:t>
            </w:r>
            <w:r>
              <w:rPr>
                <w:rFonts w:hint="eastAsia" w:ascii="宋体" w:hAnsi="宋体" w:eastAsia="宋体" w:cs="宋体"/>
                <w:bCs/>
                <w:kern w:val="0"/>
                <w:sz w:val="24"/>
              </w:rPr>
              <w:t>地震、台风、暴雨等自然灾害</w:t>
            </w:r>
            <w:r>
              <w:rPr>
                <w:rFonts w:ascii="宋体" w:hAnsi="宋体" w:eastAsia="宋体" w:cs="宋体"/>
                <w:bCs/>
                <w:kern w:val="0"/>
                <w:sz w:val="24"/>
              </w:rPr>
              <w:t>）</w:t>
            </w:r>
            <w:r>
              <w:rPr>
                <w:rFonts w:hint="eastAsia" w:ascii="宋体" w:hAnsi="宋体" w:eastAsia="宋体" w:cs="宋体"/>
                <w:bCs/>
                <w:kern w:val="0"/>
                <w:sz w:val="24"/>
              </w:rPr>
              <w:t>应急保障预案进行评价：</w:t>
            </w:r>
          </w:p>
          <w:p w14:paraId="1BD28DF3">
            <w:pPr>
              <w:widowControl/>
              <w:spacing w:line="420" w:lineRule="exact"/>
              <w:jc w:val="left"/>
              <w:rPr>
                <w:rFonts w:ascii="宋体" w:hAnsi="宋体" w:eastAsia="宋体" w:cs="宋体"/>
                <w:color w:val="000000"/>
                <w:kern w:val="0"/>
                <w:sz w:val="24"/>
              </w:rPr>
            </w:pPr>
            <w:r>
              <w:rPr>
                <w:rFonts w:hint="eastAsia" w:ascii="宋体" w:hAnsi="宋体" w:eastAsia="宋体" w:cs="宋体"/>
                <w:color w:val="000000"/>
                <w:kern w:val="0"/>
                <w:sz w:val="24"/>
              </w:rPr>
              <w:t>①对该项内容有专项做出响应，内容合理、能够解决应急所需的得</w:t>
            </w:r>
            <w:r>
              <w:rPr>
                <w:rFonts w:ascii="宋体" w:hAnsi="宋体" w:eastAsia="宋体" w:cs="宋体"/>
                <w:kern w:val="0"/>
                <w:sz w:val="24"/>
              </w:rPr>
              <w:t>2</w:t>
            </w:r>
            <w:r>
              <w:rPr>
                <w:rFonts w:hint="eastAsia" w:ascii="宋体" w:hAnsi="宋体" w:eastAsia="宋体" w:cs="宋体"/>
                <w:color w:val="000000"/>
                <w:kern w:val="0"/>
                <w:sz w:val="24"/>
              </w:rPr>
              <w:t xml:space="preserve">分； </w:t>
            </w:r>
          </w:p>
          <w:p w14:paraId="741CFF9C">
            <w:pPr>
              <w:widowControl/>
              <w:spacing w:line="420" w:lineRule="exact"/>
              <w:jc w:val="left"/>
              <w:rPr>
                <w:rFonts w:ascii="宋体" w:hAnsi="宋体" w:eastAsia="宋体" w:cs="宋体"/>
                <w:color w:val="000000"/>
                <w:kern w:val="0"/>
                <w:sz w:val="24"/>
              </w:rPr>
            </w:pPr>
            <w:r>
              <w:rPr>
                <w:rFonts w:hint="eastAsia" w:ascii="宋体" w:hAnsi="宋体" w:eastAsia="宋体" w:cs="宋体"/>
                <w:color w:val="000000"/>
                <w:kern w:val="0"/>
                <w:sz w:val="24"/>
              </w:rPr>
              <w:t xml:space="preserve">②在满足①的基础上，方案中包含应急准备方案及相应的应急处理步骤措施、应急人员的组织机构设置的得3分； </w:t>
            </w:r>
          </w:p>
          <w:p w14:paraId="780E9677">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③未提供或不符合上述情况的得0分。</w:t>
            </w:r>
          </w:p>
        </w:tc>
      </w:tr>
      <w:tr w14:paraId="098469A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0EC9AA9">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10</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019942C">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49A25E62">
            <w:pPr>
              <w:widowControl/>
              <w:spacing w:line="420" w:lineRule="exact"/>
              <w:jc w:val="left"/>
              <w:rPr>
                <w:rFonts w:ascii="宋体" w:hAnsi="宋体" w:eastAsia="宋体" w:cs="宋体"/>
                <w:bCs/>
                <w:kern w:val="0"/>
                <w:sz w:val="24"/>
              </w:rPr>
            </w:pPr>
            <w:r>
              <w:rPr>
                <w:rFonts w:hint="eastAsia" w:ascii="宋体" w:hAnsi="宋体" w:eastAsia="宋体" w:cs="宋体"/>
                <w:bCs/>
                <w:kern w:val="0"/>
                <w:sz w:val="24"/>
              </w:rPr>
              <w:t>根据供应商提供的突发安全事件应急保障预案（包含但不限于安全事故如火灾、暴恐、治安案件、危化品管理、群体事件等）进行评价：</w:t>
            </w:r>
          </w:p>
          <w:p w14:paraId="32A43850">
            <w:pPr>
              <w:widowControl/>
              <w:spacing w:line="420" w:lineRule="exact"/>
              <w:jc w:val="left"/>
              <w:rPr>
                <w:rFonts w:ascii="宋体" w:hAnsi="宋体" w:eastAsia="宋体" w:cs="宋体"/>
                <w:color w:val="000000"/>
                <w:kern w:val="0"/>
                <w:sz w:val="24"/>
              </w:rPr>
            </w:pPr>
            <w:r>
              <w:rPr>
                <w:rFonts w:hint="eastAsia" w:ascii="宋体" w:hAnsi="宋体" w:eastAsia="宋体" w:cs="宋体"/>
                <w:color w:val="000000"/>
                <w:kern w:val="0"/>
                <w:sz w:val="24"/>
              </w:rPr>
              <w:t>①对该项内容有专项做出响应，内容合理、能够解决应急所需的得</w:t>
            </w:r>
            <w:r>
              <w:rPr>
                <w:rFonts w:ascii="宋体" w:hAnsi="宋体" w:eastAsia="宋体" w:cs="宋体"/>
                <w:kern w:val="0"/>
                <w:sz w:val="24"/>
              </w:rPr>
              <w:t>2</w:t>
            </w:r>
            <w:r>
              <w:rPr>
                <w:rFonts w:hint="eastAsia" w:ascii="宋体" w:hAnsi="宋体" w:eastAsia="宋体" w:cs="宋体"/>
                <w:color w:val="000000"/>
                <w:kern w:val="0"/>
                <w:sz w:val="24"/>
              </w:rPr>
              <w:t xml:space="preserve">分； </w:t>
            </w:r>
          </w:p>
          <w:p w14:paraId="25A8DBC2">
            <w:pPr>
              <w:widowControl/>
              <w:spacing w:line="420" w:lineRule="exact"/>
              <w:jc w:val="left"/>
              <w:rPr>
                <w:rFonts w:ascii="宋体" w:hAnsi="宋体" w:eastAsia="宋体" w:cs="宋体"/>
                <w:color w:val="000000"/>
                <w:kern w:val="0"/>
                <w:sz w:val="24"/>
              </w:rPr>
            </w:pPr>
            <w:r>
              <w:rPr>
                <w:rFonts w:hint="eastAsia" w:ascii="宋体" w:hAnsi="宋体" w:eastAsia="宋体" w:cs="宋体"/>
                <w:color w:val="000000"/>
                <w:kern w:val="0"/>
                <w:sz w:val="24"/>
              </w:rPr>
              <w:t xml:space="preserve">②在满足①的基础上，方案中包含应急准备方案及相应的应急处理步骤措施、应急人员的组织机构设置的得3分； </w:t>
            </w:r>
          </w:p>
          <w:p w14:paraId="4CE6912D">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③未提供或不符合上述情况的得0分。</w:t>
            </w:r>
          </w:p>
        </w:tc>
      </w:tr>
      <w:tr w14:paraId="3A31FA32">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B5C4FC4">
            <w:pPr>
              <w:pStyle w:val="20"/>
              <w:spacing w:line="42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11</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EFD97F7">
            <w:pPr>
              <w:spacing w:line="420" w:lineRule="exact"/>
              <w:jc w:val="center"/>
              <w:rPr>
                <w:rFonts w:ascii="宋体" w:hAnsi="宋体" w:eastAsia="宋体"/>
                <w:sz w:val="24"/>
              </w:rPr>
            </w:pPr>
            <w:r>
              <w:rPr>
                <w:rFonts w:hint="eastAsia" w:ascii="宋体" w:hAnsi="宋体" w:eastAsia="宋体"/>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705AD66">
            <w:pPr>
              <w:widowControl/>
              <w:spacing w:line="420" w:lineRule="exact"/>
              <w:jc w:val="left"/>
              <w:rPr>
                <w:rFonts w:ascii="宋体" w:hAnsi="宋体" w:eastAsia="宋体" w:cs="宋体"/>
                <w:kern w:val="0"/>
                <w:sz w:val="24"/>
              </w:rPr>
            </w:pPr>
            <w:r>
              <w:rPr>
                <w:rFonts w:hint="eastAsia" w:ascii="宋体" w:hAnsi="宋体" w:eastAsia="宋体" w:cs="宋体"/>
                <w:kern w:val="0"/>
                <w:sz w:val="24"/>
              </w:rPr>
              <w:t>根据供应商提供的交接期间的人员过渡计划安排方案（</w:t>
            </w:r>
            <w:r>
              <w:rPr>
                <w:rFonts w:ascii="宋体" w:hAnsi="宋体" w:eastAsia="宋体" w:cs="宋体"/>
                <w:kern w:val="0"/>
                <w:sz w:val="24"/>
              </w:rPr>
              <w:t>包括但不限于：过渡期间如何与原有物业人员和服务期满后的新入驻物业的工作交接及人员过渡岗位安排计划，确保过渡期间</w:t>
            </w:r>
            <w:r>
              <w:rPr>
                <w:rFonts w:hint="eastAsia" w:ascii="宋体" w:hAnsi="宋体" w:eastAsia="宋体" w:cs="宋体"/>
                <w:kern w:val="0"/>
                <w:sz w:val="24"/>
              </w:rPr>
              <w:t>物业管理</w:t>
            </w:r>
            <w:r>
              <w:rPr>
                <w:rFonts w:ascii="宋体" w:hAnsi="宋体" w:eastAsia="宋体" w:cs="宋体"/>
                <w:kern w:val="0"/>
                <w:sz w:val="24"/>
              </w:rPr>
              <w:t>的正常运营等）</w:t>
            </w:r>
            <w:r>
              <w:rPr>
                <w:rFonts w:hint="eastAsia" w:ascii="宋体" w:hAnsi="宋体" w:eastAsia="宋体" w:cs="宋体"/>
                <w:kern w:val="0"/>
                <w:sz w:val="24"/>
              </w:rPr>
              <w:t>进行评价：</w:t>
            </w:r>
          </w:p>
          <w:p w14:paraId="62C68E8F">
            <w:pPr>
              <w:widowControl/>
              <w:spacing w:line="420" w:lineRule="exact"/>
              <w:jc w:val="left"/>
              <w:rPr>
                <w:rFonts w:ascii="宋体" w:hAnsi="宋体" w:eastAsia="宋体" w:cs="宋体"/>
                <w:kern w:val="0"/>
                <w:sz w:val="24"/>
              </w:rPr>
            </w:pPr>
            <w:r>
              <w:rPr>
                <w:rFonts w:hint="eastAsia" w:ascii="宋体" w:hAnsi="宋体" w:eastAsia="宋体" w:cs="宋体"/>
                <w:color w:val="000000"/>
                <w:kern w:val="0"/>
                <w:sz w:val="24"/>
              </w:rPr>
              <w:t>①</w:t>
            </w:r>
            <w:r>
              <w:rPr>
                <w:rFonts w:hint="eastAsia" w:ascii="宋体" w:hAnsi="宋体" w:eastAsia="宋体"/>
                <w:sz w:val="24"/>
              </w:rPr>
              <w:t>对上述内容均有作出响应</w:t>
            </w:r>
            <w:r>
              <w:rPr>
                <w:rFonts w:hint="eastAsia" w:ascii="宋体" w:hAnsi="宋体" w:eastAsia="宋体" w:cs="宋体"/>
                <w:color w:val="000000"/>
                <w:kern w:val="0"/>
                <w:sz w:val="24"/>
              </w:rPr>
              <w:t>，方案措施清晰、合理，符合本项目要求的得</w:t>
            </w:r>
            <w:r>
              <w:rPr>
                <w:rFonts w:ascii="宋体" w:hAnsi="宋体" w:eastAsia="宋体" w:cs="宋体"/>
                <w:color w:val="000000"/>
                <w:kern w:val="0"/>
                <w:sz w:val="24"/>
              </w:rPr>
              <w:t>2</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②在满足①的基础上，具有落实该项服务的工作细则、流程，突出重难点、计划措施具有针对性，有利于项目实施的得</w:t>
            </w:r>
            <w:r>
              <w:rPr>
                <w:rFonts w:ascii="宋体" w:hAnsi="宋体" w:eastAsia="宋体" w:cs="宋体"/>
                <w:color w:val="000000"/>
                <w:kern w:val="0"/>
                <w:sz w:val="24"/>
              </w:rPr>
              <w:t>3</w:t>
            </w:r>
            <w:r>
              <w:rPr>
                <w:rFonts w:hint="eastAsia" w:ascii="宋体" w:hAnsi="宋体" w:eastAsia="宋体" w:cs="宋体"/>
                <w:color w:val="000000"/>
                <w:kern w:val="0"/>
                <w:sz w:val="24"/>
              </w:rPr>
              <w:t>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③未提供或不符合上述情况的得0分。</w:t>
            </w:r>
          </w:p>
        </w:tc>
      </w:tr>
      <w:tr w14:paraId="5C4755A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60191AE2">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2</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D9079B3">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8D212FB">
            <w:pPr>
              <w:widowControl/>
              <w:spacing w:line="420" w:lineRule="exact"/>
              <w:jc w:val="left"/>
              <w:rPr>
                <w:rFonts w:ascii="宋体" w:hAnsi="宋体" w:eastAsia="宋体" w:cs="宋体"/>
                <w:kern w:val="0"/>
                <w:sz w:val="24"/>
                <w:highlight w:val="none"/>
              </w:rPr>
            </w:pPr>
            <w:r>
              <w:rPr>
                <w:rFonts w:hint="eastAsia" w:ascii="宋体" w:hAnsi="宋体" w:eastAsia="宋体"/>
                <w:sz w:val="24"/>
                <w:highlight w:val="none"/>
              </w:rPr>
              <w:t>根据供应商</w:t>
            </w:r>
            <w:r>
              <w:rPr>
                <w:rFonts w:ascii="宋体" w:hAnsi="宋体" w:eastAsia="宋体" w:cs="宋体"/>
                <w:kern w:val="0"/>
                <w:sz w:val="24"/>
                <w:highlight w:val="none"/>
              </w:rPr>
              <w:t>提供</w:t>
            </w:r>
            <w:r>
              <w:rPr>
                <w:rFonts w:hint="eastAsia" w:ascii="宋体" w:hAnsi="宋体" w:eastAsia="宋体" w:cs="宋体"/>
                <w:kern w:val="0"/>
                <w:sz w:val="24"/>
                <w:highlight w:val="none"/>
              </w:rPr>
              <w:t>的</w:t>
            </w:r>
            <w:r>
              <w:rPr>
                <w:rFonts w:ascii="宋体" w:hAnsi="宋体" w:eastAsia="宋体" w:cs="宋体"/>
                <w:kern w:val="0"/>
                <w:sz w:val="24"/>
                <w:highlight w:val="none"/>
              </w:rPr>
              <w:t>针对本项目制定的安全生产防范保障措施方案（内容包含但不限于对员工开展安全教育、基础设施布置和安全、作业区域防护、外来单位施工安全管理等）进行评价：</w:t>
            </w:r>
          </w:p>
          <w:p w14:paraId="4E9E2128">
            <w:pPr>
              <w:widowControl/>
              <w:spacing w:line="420" w:lineRule="exact"/>
              <w:jc w:val="left"/>
              <w:rPr>
                <w:rFonts w:ascii="宋体" w:hAnsi="宋体" w:eastAsia="宋体" w:cs="宋体"/>
                <w:kern w:val="0"/>
                <w:sz w:val="24"/>
                <w:highlight w:val="none"/>
              </w:rPr>
            </w:pPr>
            <w:r>
              <w:rPr>
                <w:rFonts w:hint="eastAsia" w:ascii="宋体" w:hAnsi="宋体" w:eastAsia="宋体" w:cs="宋体"/>
                <w:color w:val="000000"/>
                <w:kern w:val="0"/>
                <w:sz w:val="24"/>
                <w:highlight w:val="none"/>
              </w:rPr>
              <w:t>①</w:t>
            </w:r>
            <w:r>
              <w:rPr>
                <w:rFonts w:hint="eastAsia" w:ascii="宋体" w:hAnsi="宋体" w:eastAsia="宋体"/>
                <w:sz w:val="24"/>
                <w:highlight w:val="none"/>
              </w:rPr>
              <w:t>对上述内容均有作出响应</w:t>
            </w:r>
            <w:r>
              <w:rPr>
                <w:rFonts w:hint="eastAsia" w:ascii="宋体" w:hAnsi="宋体" w:eastAsia="宋体" w:cs="宋体"/>
                <w:color w:val="000000"/>
                <w:kern w:val="0"/>
                <w:sz w:val="24"/>
                <w:highlight w:val="none"/>
              </w:rPr>
              <w:t>，方案措施清晰、合理，符合本项目要求的得</w:t>
            </w:r>
            <w:r>
              <w:rPr>
                <w:rFonts w:ascii="宋体" w:hAnsi="宋体" w:eastAsia="宋体" w:cs="宋体"/>
                <w:color w:val="000000"/>
                <w:kern w:val="0"/>
                <w:sz w:val="24"/>
                <w:highlight w:val="none"/>
              </w:rPr>
              <w:t>2</w:t>
            </w:r>
            <w:r>
              <w:rPr>
                <w:rFonts w:hint="eastAsia" w:ascii="宋体" w:hAnsi="宋体" w:eastAsia="宋体" w:cs="宋体"/>
                <w:color w:val="000000"/>
                <w:kern w:val="0"/>
                <w:sz w:val="24"/>
                <w:highlight w:val="none"/>
              </w:rPr>
              <w:t>分；</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rPr>
              <w:t>②在满足①的基础上，具有落实该项服务的工作细则、流程，突出重难点、计划措施具有针对性，有定期总结工作完善制度，有利于项目实施的得</w:t>
            </w:r>
            <w:r>
              <w:rPr>
                <w:rFonts w:ascii="宋体" w:hAnsi="宋体" w:eastAsia="宋体" w:cs="宋体"/>
                <w:color w:val="000000"/>
                <w:kern w:val="0"/>
                <w:sz w:val="24"/>
                <w:highlight w:val="none"/>
              </w:rPr>
              <w:t>3</w:t>
            </w:r>
            <w:r>
              <w:rPr>
                <w:rFonts w:hint="eastAsia" w:ascii="宋体" w:hAnsi="宋体" w:eastAsia="宋体" w:cs="宋体"/>
                <w:color w:val="000000"/>
                <w:kern w:val="0"/>
                <w:sz w:val="24"/>
                <w:highlight w:val="none"/>
              </w:rPr>
              <w:t>分；</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rPr>
              <w:t>③未提供或不符合上述情况的得0分。</w:t>
            </w:r>
          </w:p>
        </w:tc>
      </w:tr>
      <w:tr w14:paraId="055181D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D689CD1">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13</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8D94FAF">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14EAC30">
            <w:pPr>
              <w:spacing w:line="42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根据供应商拟投入本项目的专用机械设备、工具、物料配置方案进行评价：</w:t>
            </w:r>
          </w:p>
          <w:p w14:paraId="34EB572C">
            <w:pPr>
              <w:spacing w:line="420" w:lineRule="exact"/>
              <w:jc w:val="left"/>
              <w:rPr>
                <w:rFonts w:ascii="宋体" w:hAnsi="宋体" w:eastAsia="宋体" w:cs="宋体"/>
                <w:kern w:val="0"/>
                <w:sz w:val="24"/>
                <w:highlight w:val="none"/>
              </w:rPr>
            </w:pPr>
            <w:r>
              <w:rPr>
                <w:rFonts w:hint="eastAsia" w:ascii="宋体" w:hAnsi="宋体" w:eastAsia="宋体" w:cs="宋体"/>
                <w:color w:val="000000"/>
                <w:kern w:val="0"/>
                <w:sz w:val="24"/>
                <w:highlight w:val="none"/>
              </w:rPr>
              <w:t>①</w:t>
            </w:r>
            <w:r>
              <w:rPr>
                <w:rFonts w:hint="eastAsia" w:ascii="宋体" w:hAnsi="宋体" w:eastAsia="宋体" w:cs="宋体"/>
                <w:kern w:val="0"/>
                <w:sz w:val="24"/>
                <w:highlight w:val="none"/>
              </w:rPr>
              <w:t>主要工具配备齐全完整，提供了服务工具、设备配备表（内容包含工具设备名称、规格型号、用途等），可满足日常服务及常见应急事件处理需求的得</w:t>
            </w:r>
            <w:r>
              <w:rPr>
                <w:rFonts w:ascii="宋体" w:hAnsi="宋体" w:eastAsia="宋体" w:cs="宋体"/>
                <w:kern w:val="0"/>
                <w:sz w:val="24"/>
                <w:highlight w:val="none"/>
              </w:rPr>
              <w:t>2</w:t>
            </w:r>
            <w:r>
              <w:rPr>
                <w:rFonts w:hint="eastAsia" w:ascii="宋体" w:hAnsi="宋体" w:eastAsia="宋体" w:cs="宋体"/>
                <w:kern w:val="0"/>
                <w:sz w:val="24"/>
                <w:highlight w:val="none"/>
              </w:rPr>
              <w:t>分；</w:t>
            </w:r>
          </w:p>
          <w:p w14:paraId="1C6A495B">
            <w:pPr>
              <w:spacing w:line="42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②在满足①的基础上，配备充足，有完善的库存、领用管理制度，能完全满足日常服务及各种突发、应急事件处理需求，能有效提高服务效率的得3分；</w:t>
            </w:r>
          </w:p>
          <w:p w14:paraId="6943E3FA">
            <w:pPr>
              <w:spacing w:line="42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③未提供或</w:t>
            </w:r>
            <w:r>
              <w:rPr>
                <w:rFonts w:hint="eastAsia" w:ascii="宋体" w:hAnsi="宋体" w:eastAsia="宋体" w:cs="宋体"/>
                <w:color w:val="000000"/>
                <w:kern w:val="0"/>
                <w:sz w:val="24"/>
                <w:highlight w:val="none"/>
              </w:rPr>
              <w:t>不符合上述情况</w:t>
            </w:r>
            <w:r>
              <w:rPr>
                <w:rFonts w:hint="eastAsia" w:ascii="宋体" w:hAnsi="宋体" w:eastAsia="宋体" w:cs="宋体"/>
                <w:kern w:val="0"/>
                <w:sz w:val="24"/>
                <w:highlight w:val="none"/>
              </w:rPr>
              <w:t>的不得分。</w:t>
            </w:r>
          </w:p>
        </w:tc>
      </w:tr>
      <w:tr w14:paraId="5F76058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338E459">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-14</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30CF1B2">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6A9BEAF9">
            <w:pPr>
              <w:widowControl/>
              <w:spacing w:line="420" w:lineRule="exact"/>
              <w:jc w:val="left"/>
              <w:rPr>
                <w:rFonts w:ascii="宋体" w:hAnsi="宋体" w:eastAsia="宋体"/>
                <w:sz w:val="24"/>
                <w:highlight w:val="none"/>
              </w:rPr>
            </w:pPr>
            <w:r>
              <w:rPr>
                <w:rFonts w:hint="eastAsia" w:ascii="宋体" w:hAnsi="宋体" w:eastAsia="宋体"/>
                <w:sz w:val="24"/>
                <w:highlight w:val="none"/>
              </w:rPr>
              <w:t>根据供应商提供的拟投入项目的人员配置方案（包括但不限于：管理组织架构、岗位设置、各岗位人员配备和岗位职责等）进行评价：</w:t>
            </w:r>
          </w:p>
          <w:p w14:paraId="18AED8DA">
            <w:pPr>
              <w:widowControl/>
              <w:spacing w:line="420" w:lineRule="exact"/>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①对上述内容均有做出响应，人员配备合理，能基本保障项目实施的得</w:t>
            </w:r>
            <w:r>
              <w:rPr>
                <w:rFonts w:ascii="宋体" w:hAnsi="宋体" w:eastAsia="宋体" w:cs="宋体"/>
                <w:kern w:val="0"/>
                <w:sz w:val="24"/>
                <w:highlight w:val="none"/>
              </w:rPr>
              <w:t>2</w:t>
            </w:r>
            <w:r>
              <w:rPr>
                <w:rFonts w:hint="eastAsia" w:ascii="宋体" w:hAnsi="宋体" w:eastAsia="宋体" w:cs="宋体"/>
                <w:color w:val="000000"/>
                <w:kern w:val="0"/>
                <w:sz w:val="24"/>
                <w:highlight w:val="none"/>
              </w:rPr>
              <w:t>分；</w:t>
            </w:r>
          </w:p>
          <w:p w14:paraId="3240DD8F">
            <w:pPr>
              <w:widowControl/>
              <w:spacing w:line="420" w:lineRule="exact"/>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②在满足①的基础上，</w:t>
            </w:r>
            <w:r>
              <w:rPr>
                <w:rFonts w:hint="eastAsia" w:ascii="宋体" w:hAnsi="宋体" w:eastAsia="宋体"/>
                <w:sz w:val="24"/>
                <w:highlight w:val="none"/>
              </w:rPr>
              <w:t>管理组织架构清晰、完善，</w:t>
            </w:r>
            <w:r>
              <w:rPr>
                <w:rFonts w:hint="eastAsia" w:ascii="宋体" w:hAnsi="宋体" w:eastAsia="宋体" w:cs="宋体"/>
                <w:color w:val="000000"/>
                <w:kern w:val="0"/>
                <w:sz w:val="24"/>
                <w:highlight w:val="none"/>
              </w:rPr>
              <w:t>人员配备分工明确，有明确的人员配置表和岗位说明，有利于项目实施的得3分；</w:t>
            </w:r>
          </w:p>
          <w:p w14:paraId="51D0ADC3">
            <w:pPr>
              <w:spacing w:line="420" w:lineRule="exact"/>
              <w:jc w:val="left"/>
              <w:rPr>
                <w:rFonts w:ascii="宋体" w:hAnsi="宋体" w:eastAsia="宋体" w:cs="宋体"/>
                <w:kern w:val="0"/>
                <w:sz w:val="24"/>
                <w:highlight w:val="none"/>
              </w:rPr>
            </w:pPr>
            <w:r>
              <w:rPr>
                <w:rFonts w:hint="eastAsia" w:ascii="宋体" w:hAnsi="宋体" w:eastAsia="宋体" w:cs="宋体"/>
                <w:color w:val="000000"/>
                <w:kern w:val="0"/>
                <w:sz w:val="24"/>
                <w:highlight w:val="none"/>
              </w:rPr>
              <w:t>③未提供或不符合上述情况的得0分。</w:t>
            </w:r>
          </w:p>
        </w:tc>
      </w:tr>
      <w:tr w14:paraId="40FA2B7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38E1B5C">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5</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405D30E">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42DB94AA">
            <w:pPr>
              <w:widowControl/>
              <w:spacing w:line="420" w:lineRule="exact"/>
              <w:jc w:val="left"/>
              <w:rPr>
                <w:rFonts w:ascii="宋体" w:hAnsi="宋体" w:eastAsia="宋体"/>
                <w:sz w:val="24"/>
                <w:highlight w:val="none"/>
              </w:rPr>
            </w:pPr>
            <w:r>
              <w:rPr>
                <w:rFonts w:hint="eastAsia" w:ascii="宋体" w:hAnsi="宋体" w:eastAsia="宋体"/>
                <w:sz w:val="24"/>
                <w:highlight w:val="none"/>
              </w:rPr>
              <w:t>供应商拟派本项目的项目负责人（</w:t>
            </w:r>
            <w:r>
              <w:rPr>
                <w:rFonts w:hint="eastAsia" w:ascii="宋体" w:hAnsi="宋体" w:eastAsia="宋体"/>
                <w:sz w:val="24"/>
                <w:highlight w:val="none"/>
                <w:lang w:val="en-US" w:eastAsia="zh-CN"/>
              </w:rPr>
              <w:t>女性</w:t>
            </w:r>
            <w:r>
              <w:rPr>
                <w:rFonts w:hint="eastAsia" w:ascii="宋体" w:hAnsi="宋体" w:eastAsia="宋体"/>
                <w:sz w:val="24"/>
                <w:highlight w:val="none"/>
              </w:rPr>
              <w:t>）具有：</w:t>
            </w:r>
          </w:p>
          <w:p w14:paraId="42828217">
            <w:pPr>
              <w:widowControl/>
              <w:spacing w:line="420" w:lineRule="exact"/>
              <w:jc w:val="left"/>
              <w:rPr>
                <w:rFonts w:ascii="宋体" w:hAnsi="宋体" w:eastAsia="宋体"/>
                <w:sz w:val="24"/>
                <w:highlight w:val="none"/>
              </w:rPr>
            </w:pPr>
            <w:r>
              <w:rPr>
                <w:rFonts w:hint="eastAsia" w:ascii="宋体" w:hAnsi="宋体" w:eastAsia="宋体"/>
                <w:sz w:val="24"/>
                <w:highlight w:val="none"/>
              </w:rPr>
              <w:t>①</w:t>
            </w:r>
            <w:r>
              <w:rPr>
                <w:rFonts w:hint="eastAsia" w:ascii="宋体" w:hAnsi="宋体" w:eastAsia="宋体"/>
                <w:sz w:val="24"/>
                <w:highlight w:val="none"/>
                <w:lang w:val="en-US" w:eastAsia="zh-CN"/>
              </w:rPr>
              <w:t>全日制本科</w:t>
            </w:r>
            <w:r>
              <w:rPr>
                <w:rFonts w:hint="eastAsia" w:ascii="宋体" w:hAnsi="宋体" w:eastAsia="宋体"/>
                <w:sz w:val="24"/>
                <w:highlight w:val="none"/>
              </w:rPr>
              <w:t>(含）以上学历的得1分；</w:t>
            </w:r>
          </w:p>
          <w:p w14:paraId="2FFB8340">
            <w:pPr>
              <w:widowControl/>
              <w:spacing w:line="420" w:lineRule="exact"/>
              <w:jc w:val="left"/>
              <w:rPr>
                <w:rFonts w:hint="default" w:ascii="宋体" w:hAnsi="宋体" w:eastAsia="宋体"/>
                <w:sz w:val="24"/>
                <w:highlight w:val="none"/>
                <w:lang w:val="en-US" w:eastAsia="zh-CN"/>
              </w:rPr>
            </w:pPr>
            <w:r>
              <w:rPr>
                <w:rFonts w:hint="eastAsia" w:ascii="宋体" w:hAnsi="宋体" w:eastAsia="宋体"/>
                <w:sz w:val="24"/>
                <w:highlight w:val="none"/>
              </w:rPr>
              <w:t>②</w:t>
            </w:r>
            <w:r>
              <w:rPr>
                <w:rFonts w:hint="eastAsia" w:ascii="宋体" w:hAnsi="宋体" w:eastAsia="宋体"/>
                <w:sz w:val="24"/>
                <w:highlight w:val="none"/>
                <w:lang w:val="en-US" w:eastAsia="zh-CN"/>
              </w:rPr>
              <w:t>中级消防设施操作员证书</w:t>
            </w:r>
            <w:r>
              <w:rPr>
                <w:rFonts w:ascii="宋体" w:hAnsi="宋体" w:eastAsia="宋体" w:cs="宋体"/>
                <w:kern w:val="0"/>
                <w:sz w:val="24"/>
                <w:highlight w:val="none"/>
              </w:rPr>
              <w:t>的得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eastAsia="zh-CN"/>
              </w:rPr>
              <w:br w:type="textWrapping"/>
            </w:r>
            <w:r>
              <w:rPr>
                <w:rFonts w:hint="eastAsia" w:ascii="宋体" w:hAnsi="宋体" w:eastAsia="宋体" w:cs="宋体"/>
                <w:kern w:val="0"/>
                <w:sz w:val="24"/>
                <w:highlight w:val="none"/>
                <w:lang w:val="en-US" w:eastAsia="zh-CN"/>
              </w:rPr>
              <w:t>③金钥匙管家</w:t>
            </w:r>
            <w:r>
              <w:rPr>
                <w:rFonts w:hint="eastAsia" w:ascii="宋体" w:hAnsi="宋体" w:cs="宋体"/>
                <w:kern w:val="0"/>
                <w:sz w:val="24"/>
                <w:highlight w:val="none"/>
                <w:lang w:val="en-US" w:eastAsia="zh-CN"/>
              </w:rPr>
              <w:t>资格认证</w:t>
            </w:r>
            <w:r>
              <w:rPr>
                <w:rFonts w:hint="eastAsia" w:ascii="宋体" w:hAnsi="宋体" w:eastAsia="宋体" w:cs="宋体"/>
                <w:kern w:val="0"/>
                <w:sz w:val="24"/>
                <w:highlight w:val="none"/>
                <w:lang w:val="en-US" w:eastAsia="zh-CN"/>
              </w:rPr>
              <w:t>得1分。</w:t>
            </w:r>
          </w:p>
          <w:p w14:paraId="62FE2314">
            <w:pPr>
              <w:widowControl/>
              <w:spacing w:line="420" w:lineRule="exact"/>
              <w:jc w:val="left"/>
              <w:rPr>
                <w:rFonts w:ascii="宋体" w:hAnsi="宋体" w:eastAsia="宋体" w:cs="宋体"/>
                <w:kern w:val="0"/>
                <w:sz w:val="24"/>
                <w:highlight w:val="none"/>
              </w:rPr>
            </w:pPr>
            <w:r>
              <w:rPr>
                <w:rFonts w:hint="eastAsia" w:ascii="宋体" w:hAnsi="宋体" w:eastAsia="宋体"/>
                <w:sz w:val="24"/>
                <w:highlight w:val="none"/>
              </w:rPr>
              <w:t>本项满分3分。须提供相应人员身份证复印件、有效学历证书复印件、相关证书复印件以及社保缴交证明材料，否则不得分。</w:t>
            </w:r>
          </w:p>
        </w:tc>
      </w:tr>
      <w:tr w14:paraId="1299967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A698C76">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16</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C7E984D">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24DF95EA">
            <w:pPr>
              <w:widowControl/>
              <w:spacing w:line="420" w:lineRule="exact"/>
              <w:jc w:val="left"/>
              <w:rPr>
                <w:rFonts w:ascii="宋体" w:hAnsi="宋体" w:eastAsia="宋体"/>
                <w:sz w:val="24"/>
                <w:highlight w:val="none"/>
              </w:rPr>
            </w:pPr>
            <w:r>
              <w:rPr>
                <w:rFonts w:hint="eastAsia" w:ascii="宋体" w:hAnsi="宋体" w:eastAsia="宋体"/>
                <w:sz w:val="24"/>
                <w:highlight w:val="none"/>
              </w:rPr>
              <w:t>供应商拟派本项目的维修人员具备：①同时持有高压电工证</w:t>
            </w:r>
            <w:r>
              <w:rPr>
                <w:rFonts w:hint="eastAsia" w:ascii="宋体" w:hAnsi="宋体" w:eastAsia="宋体"/>
                <w:sz w:val="24"/>
                <w:highlight w:val="none"/>
                <w:lang w:eastAsia="zh-CN"/>
              </w:rPr>
              <w:t>、</w:t>
            </w:r>
            <w:r>
              <w:rPr>
                <w:rFonts w:hint="eastAsia" w:ascii="宋体" w:hAnsi="宋体" w:eastAsia="宋体"/>
                <w:sz w:val="24"/>
                <w:highlight w:val="none"/>
              </w:rPr>
              <w:t>电梯安全管理员证</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中级消防设施操作员证书、</w:t>
            </w:r>
            <w:r>
              <w:rPr>
                <w:rFonts w:hint="eastAsia" w:ascii="宋体" w:hAnsi="宋体" w:eastAsia="宋体"/>
                <w:sz w:val="24"/>
                <w:highlight w:val="none"/>
              </w:rPr>
              <w:t>三级或以上电工职业资格证的得2分；</w:t>
            </w:r>
          </w:p>
          <w:p w14:paraId="1F8B4BA4">
            <w:pPr>
              <w:widowControl/>
              <w:spacing w:line="420" w:lineRule="exact"/>
              <w:jc w:val="left"/>
              <w:rPr>
                <w:rFonts w:ascii="宋体" w:hAnsi="宋体" w:eastAsia="宋体"/>
                <w:sz w:val="24"/>
                <w:highlight w:val="none"/>
              </w:rPr>
            </w:pPr>
            <w:r>
              <w:rPr>
                <w:rFonts w:hint="eastAsia" w:ascii="宋体" w:hAnsi="宋体" w:eastAsia="宋体"/>
                <w:sz w:val="24"/>
                <w:highlight w:val="none"/>
              </w:rPr>
              <w:t>②具有</w:t>
            </w:r>
            <w:r>
              <w:rPr>
                <w:rFonts w:hint="eastAsia" w:ascii="宋体" w:hAnsi="宋体" w:eastAsia="宋体"/>
                <w:sz w:val="24"/>
                <w:highlight w:val="none"/>
                <w:lang w:val="en-US" w:eastAsia="zh-CN"/>
              </w:rPr>
              <w:t>安全管理员证书</w:t>
            </w:r>
            <w:r>
              <w:rPr>
                <w:rFonts w:hint="eastAsia" w:ascii="宋体" w:hAnsi="宋体" w:eastAsia="宋体"/>
                <w:sz w:val="24"/>
                <w:highlight w:val="none"/>
              </w:rPr>
              <w:t>得1分。</w:t>
            </w:r>
          </w:p>
          <w:p w14:paraId="082EABDF">
            <w:pPr>
              <w:widowControl/>
              <w:spacing w:line="420" w:lineRule="exact"/>
              <w:jc w:val="left"/>
              <w:rPr>
                <w:rFonts w:ascii="宋体" w:hAnsi="宋体" w:eastAsia="宋体" w:cs="宋体"/>
                <w:kern w:val="0"/>
                <w:sz w:val="24"/>
                <w:highlight w:val="none"/>
              </w:rPr>
            </w:pPr>
            <w:r>
              <w:rPr>
                <w:rFonts w:hint="eastAsia" w:ascii="宋体" w:hAnsi="宋体" w:eastAsia="宋体"/>
                <w:sz w:val="24"/>
                <w:highlight w:val="none"/>
              </w:rPr>
              <w:t>本项满分3分。须提供相应人员身份证复印件、有效学历证书复印件、相关证书复印件以及社保缴交证明材料，否则不得分。</w:t>
            </w:r>
          </w:p>
        </w:tc>
      </w:tr>
      <w:tr w14:paraId="24EE674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B9A42A3">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17</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045E50F">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4D645E3D">
            <w:pPr>
              <w:widowControl/>
              <w:spacing w:line="42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供应商拟派</w:t>
            </w:r>
            <w:r>
              <w:rPr>
                <w:rFonts w:hint="eastAsia" w:ascii="宋体" w:hAnsi="宋体" w:eastAsia="宋体"/>
                <w:sz w:val="24"/>
                <w:highlight w:val="none"/>
              </w:rPr>
              <w:t>本项目</w:t>
            </w:r>
            <w:r>
              <w:rPr>
                <w:rFonts w:hint="eastAsia" w:ascii="宋体" w:hAnsi="宋体" w:eastAsia="宋体" w:cs="宋体"/>
                <w:kern w:val="0"/>
                <w:sz w:val="24"/>
                <w:highlight w:val="none"/>
              </w:rPr>
              <w:t>的保洁员具有初中以上学历的得3分。</w:t>
            </w:r>
            <w:r>
              <w:rPr>
                <w:rFonts w:hint="eastAsia" w:ascii="宋体" w:hAnsi="宋体" w:eastAsia="宋体"/>
                <w:sz w:val="24"/>
                <w:highlight w:val="none"/>
              </w:rPr>
              <w:t>须提供相应人员身份证复印件、有效学历证书复印件以及社保缴交证明材料，否则不得分。</w:t>
            </w:r>
          </w:p>
        </w:tc>
      </w:tr>
      <w:tr w14:paraId="165013C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EE38BC4">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18</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64661C24">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3031D94A">
            <w:pPr>
              <w:widowControl/>
              <w:spacing w:line="420" w:lineRule="exact"/>
              <w:jc w:val="left"/>
              <w:rPr>
                <w:rFonts w:ascii="宋体" w:hAnsi="宋体" w:eastAsia="宋体"/>
                <w:sz w:val="24"/>
                <w:highlight w:val="none"/>
              </w:rPr>
            </w:pPr>
            <w:r>
              <w:rPr>
                <w:rFonts w:hint="eastAsia" w:ascii="宋体" w:hAnsi="宋体" w:eastAsia="宋体" w:cs="Arial"/>
                <w:sz w:val="24"/>
                <w:highlight w:val="none"/>
              </w:rPr>
              <w:t>供应商拟派</w:t>
            </w:r>
            <w:r>
              <w:rPr>
                <w:rFonts w:hint="eastAsia" w:ascii="宋体" w:hAnsi="宋体" w:eastAsia="宋体"/>
                <w:sz w:val="24"/>
                <w:highlight w:val="none"/>
              </w:rPr>
              <w:t>本项目</w:t>
            </w:r>
            <w:r>
              <w:rPr>
                <w:rFonts w:hint="eastAsia" w:ascii="宋体" w:hAnsi="宋体" w:eastAsia="宋体" w:cs="Arial"/>
                <w:sz w:val="24"/>
                <w:highlight w:val="none"/>
              </w:rPr>
              <w:t>的保安员</w:t>
            </w:r>
            <w:r>
              <w:rPr>
                <w:rFonts w:hint="eastAsia" w:ascii="宋体" w:hAnsi="宋体" w:eastAsia="宋体"/>
                <w:sz w:val="24"/>
                <w:highlight w:val="none"/>
              </w:rPr>
              <w:t>为</w:t>
            </w:r>
            <w:r>
              <w:rPr>
                <w:rFonts w:hint="eastAsia" w:ascii="宋体" w:hAnsi="宋体" w:eastAsia="宋体" w:cs="Arial"/>
                <w:sz w:val="24"/>
                <w:highlight w:val="none"/>
              </w:rPr>
              <w:t>5</w:t>
            </w:r>
            <w:r>
              <w:rPr>
                <w:rFonts w:ascii="宋体" w:hAnsi="宋体" w:eastAsia="宋体" w:cs="Arial"/>
                <w:sz w:val="24"/>
                <w:highlight w:val="none"/>
              </w:rPr>
              <w:t>5</w:t>
            </w:r>
            <w:r>
              <w:rPr>
                <w:rFonts w:hint="eastAsia" w:ascii="宋体" w:hAnsi="宋体" w:eastAsia="宋体" w:cs="Arial"/>
                <w:sz w:val="24"/>
                <w:highlight w:val="none"/>
              </w:rPr>
              <w:t>周岁以下，具有初中以上学历及保安员证的得3分。</w:t>
            </w:r>
            <w:r>
              <w:rPr>
                <w:rFonts w:hint="eastAsia" w:ascii="宋体" w:hAnsi="宋体" w:eastAsia="宋体"/>
                <w:sz w:val="24"/>
                <w:highlight w:val="none"/>
              </w:rPr>
              <w:t>须提供相应人员身份证复印件、有效学历证书复印件、相关证书复印件以及社保缴交证明材料，否则不得分。</w:t>
            </w:r>
          </w:p>
        </w:tc>
      </w:tr>
      <w:tr w14:paraId="00FAF58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0F2B4DD">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19</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75EFEDD">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39F1D516">
            <w:pPr>
              <w:widowControl/>
              <w:spacing w:line="420" w:lineRule="exact"/>
              <w:jc w:val="left"/>
              <w:rPr>
                <w:rFonts w:ascii="宋体" w:hAnsi="宋体" w:eastAsia="宋体" w:cs="Arial"/>
                <w:sz w:val="24"/>
                <w:highlight w:val="none"/>
              </w:rPr>
            </w:pPr>
            <w:r>
              <w:rPr>
                <w:rFonts w:hint="eastAsia" w:ascii="宋体" w:hAnsi="宋体" w:eastAsia="宋体" w:cs="宋体"/>
                <w:kern w:val="0"/>
                <w:sz w:val="24"/>
                <w:highlight w:val="none"/>
              </w:rPr>
              <w:t>供应商承诺如若成交，无特殊原因，不得更换人员，如需更换则所更换的人员资格、经验不低于磋商文件和响应文件要求的，且</w:t>
            </w:r>
            <w:r>
              <w:rPr>
                <w:rFonts w:ascii="宋体" w:hAnsi="宋体" w:eastAsia="宋体" w:cs="宋体"/>
                <w:kern w:val="0"/>
                <w:sz w:val="24"/>
                <w:highlight w:val="none"/>
              </w:rPr>
              <w:t>需</w:t>
            </w:r>
            <w:r>
              <w:rPr>
                <w:rFonts w:hint="eastAsia" w:ascii="宋体" w:hAnsi="宋体" w:eastAsia="宋体" w:cs="宋体"/>
                <w:kern w:val="0"/>
                <w:sz w:val="24"/>
                <w:highlight w:val="none"/>
              </w:rPr>
              <w:t>事先征得采购人同意的得3分</w:t>
            </w:r>
            <w:r>
              <w:rPr>
                <w:rFonts w:ascii="宋体" w:hAnsi="宋体" w:eastAsia="宋体" w:cs="宋体"/>
                <w:kern w:val="0"/>
                <w:sz w:val="24"/>
                <w:highlight w:val="none"/>
              </w:rPr>
              <w:t>。</w:t>
            </w:r>
            <w:r>
              <w:rPr>
                <w:rFonts w:hint="eastAsia" w:ascii="宋体" w:hAnsi="宋体" w:eastAsia="宋体" w:cs="宋体"/>
                <w:kern w:val="0"/>
                <w:sz w:val="24"/>
                <w:highlight w:val="none"/>
              </w:rPr>
              <w:t>须提供书面承诺，否则不得分。</w:t>
            </w:r>
          </w:p>
        </w:tc>
      </w:tr>
      <w:tr w14:paraId="5B5917E2">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4F2D3A8">
            <w:pPr>
              <w:pStyle w:val="20"/>
              <w:spacing w:line="420" w:lineRule="exact"/>
              <w:jc w:val="center"/>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20</w:t>
            </w:r>
          </w:p>
        </w:tc>
        <w:tc>
          <w:tcPr>
            <w:tcW w:w="134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5BA79F0">
            <w:pPr>
              <w:spacing w:line="420" w:lineRule="exact"/>
              <w:jc w:val="center"/>
              <w:rPr>
                <w:rFonts w:ascii="宋体" w:hAnsi="宋体" w:eastAsia="宋体"/>
                <w:sz w:val="24"/>
                <w:highlight w:val="none"/>
              </w:rPr>
            </w:pPr>
            <w:r>
              <w:rPr>
                <w:rFonts w:hint="eastAsia" w:ascii="宋体" w:hAnsi="宋体" w:eastAsia="宋体"/>
                <w:sz w:val="24"/>
                <w:highlight w:val="none"/>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34EC2819">
            <w:pPr>
              <w:widowControl/>
              <w:spacing w:line="420" w:lineRule="exact"/>
              <w:jc w:val="left"/>
              <w:rPr>
                <w:rFonts w:ascii="宋体" w:hAnsi="宋体" w:eastAsia="宋体" w:cs="宋体"/>
                <w:kern w:val="0"/>
                <w:sz w:val="24"/>
                <w:highlight w:val="none"/>
              </w:rPr>
            </w:pPr>
            <w:r>
              <w:rPr>
                <w:rFonts w:hint="eastAsia" w:ascii="宋体" w:hAnsi="宋体" w:eastAsia="宋体" w:cs="宋体"/>
                <w:kern w:val="0"/>
                <w:sz w:val="24"/>
                <w:highlight w:val="none"/>
              </w:rPr>
              <w:t>供应商承诺</w:t>
            </w:r>
            <w:r>
              <w:rPr>
                <w:rFonts w:hint="eastAsia" w:ascii="宋体" w:hAnsi="宋体" w:eastAsia="宋体"/>
                <w:sz w:val="24"/>
                <w:highlight w:val="none"/>
              </w:rPr>
              <w:t>员工待遇严格按新《劳动合同法》执行，工资标准严格按厦门市政府相关规定执行，社保、医保等执行政府公布的最新社平工资的得3分。须提供书面承诺，否则不得分。</w:t>
            </w:r>
          </w:p>
        </w:tc>
      </w:tr>
    </w:tbl>
    <w:p w14:paraId="7D0DAF0F">
      <w:pPr>
        <w:widowControl/>
        <w:spacing w:line="360" w:lineRule="auto"/>
        <w:ind w:firstLine="482" w:firstLineChars="200"/>
        <w:jc w:val="left"/>
        <w:rPr>
          <w:rFonts w:ascii="宋体" w:hAnsi="宋体" w:eastAsia="宋体" w:cs="宋体"/>
          <w:b/>
          <w:bCs/>
          <w:kern w:val="0"/>
          <w:sz w:val="24"/>
          <w:highlight w:val="none"/>
        </w:rPr>
      </w:pPr>
      <w:r>
        <w:rPr>
          <w:rFonts w:ascii="宋体" w:hAnsi="宋体" w:eastAsia="宋体" w:cs="宋体"/>
          <w:b/>
          <w:bCs/>
          <w:kern w:val="0"/>
          <w:sz w:val="24"/>
          <w:highlight w:val="none"/>
        </w:rPr>
        <w:t>（二）商务部分评分</w:t>
      </w:r>
      <w:r>
        <w:rPr>
          <w:rFonts w:hint="eastAsia" w:ascii="宋体" w:hAnsi="宋体" w:eastAsia="宋体" w:cs="宋体"/>
          <w:b/>
          <w:bCs/>
          <w:kern w:val="0"/>
          <w:sz w:val="24"/>
          <w:highlight w:val="none"/>
        </w:rPr>
        <w:t>F3：</w:t>
      </w:r>
      <w:r>
        <w:rPr>
          <w:rFonts w:ascii="宋体" w:hAnsi="宋体" w:eastAsia="宋体" w:cs="宋体"/>
          <w:b/>
          <w:bCs/>
          <w:kern w:val="0"/>
          <w:sz w:val="24"/>
          <w:highlight w:val="none"/>
        </w:rPr>
        <w:t>满分</w:t>
      </w:r>
      <w:r>
        <w:rPr>
          <w:rFonts w:hint="eastAsia" w:ascii="宋体" w:hAnsi="宋体" w:eastAsia="宋体" w:cs="宋体"/>
          <w:b/>
          <w:bCs/>
          <w:kern w:val="0"/>
          <w:sz w:val="24"/>
          <w:highlight w:val="none"/>
          <w:u w:val="single"/>
        </w:rPr>
        <w:t xml:space="preserve"> </w:t>
      </w:r>
      <w:r>
        <w:rPr>
          <w:rFonts w:ascii="宋体" w:hAnsi="宋体" w:eastAsia="宋体" w:cs="宋体"/>
          <w:b/>
          <w:bCs/>
          <w:kern w:val="0"/>
          <w:sz w:val="24"/>
          <w:highlight w:val="none"/>
          <w:u w:val="single"/>
        </w:rPr>
        <w:t>20</w:t>
      </w:r>
      <w:r>
        <w:rPr>
          <w:rFonts w:hint="eastAsia" w:ascii="宋体" w:hAnsi="宋体" w:eastAsia="宋体" w:cs="宋体"/>
          <w:b/>
          <w:bCs/>
          <w:kern w:val="0"/>
          <w:sz w:val="24"/>
          <w:highlight w:val="none"/>
          <w:u w:val="single"/>
        </w:rPr>
        <w:t xml:space="preserve"> </w:t>
      </w:r>
      <w:r>
        <w:rPr>
          <w:rFonts w:ascii="宋体" w:hAnsi="宋体" w:eastAsia="宋体" w:cs="宋体"/>
          <w:b/>
          <w:bCs/>
          <w:kern w:val="0"/>
          <w:sz w:val="24"/>
          <w:highlight w:val="none"/>
        </w:rPr>
        <w:t>分</w:t>
      </w:r>
    </w:p>
    <w:tbl>
      <w:tblPr>
        <w:tblStyle w:val="11"/>
        <w:tblW w:w="8316"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0" w:type="dxa"/>
          <w:left w:w="0" w:type="dxa"/>
          <w:bottom w:w="0" w:type="dxa"/>
          <w:right w:w="0" w:type="dxa"/>
        </w:tblCellMar>
      </w:tblPr>
      <w:tblGrid>
        <w:gridCol w:w="1286"/>
        <w:gridCol w:w="1278"/>
        <w:gridCol w:w="5752"/>
      </w:tblGrid>
      <w:tr w14:paraId="63726C3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6A97089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评审</w:t>
            </w:r>
            <w:r>
              <w:rPr>
                <w:rFonts w:ascii="宋体" w:hAnsi="宋体" w:cs="宋体"/>
                <w:kern w:val="0"/>
                <w:sz w:val="24"/>
                <w:highlight w:val="none"/>
              </w:rPr>
              <w:t>项目</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B117FE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评审</w:t>
            </w:r>
            <w:r>
              <w:rPr>
                <w:rFonts w:ascii="宋体" w:hAnsi="宋体" w:cs="宋体"/>
                <w:kern w:val="0"/>
                <w:sz w:val="24"/>
                <w:highlight w:val="none"/>
              </w:rPr>
              <w:t>分值</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B974AF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评审</w:t>
            </w:r>
            <w:r>
              <w:rPr>
                <w:rFonts w:ascii="宋体" w:hAnsi="宋体" w:cs="宋体"/>
                <w:kern w:val="0"/>
                <w:sz w:val="24"/>
                <w:highlight w:val="none"/>
              </w:rPr>
              <w:t>方法描述</w:t>
            </w:r>
          </w:p>
        </w:tc>
      </w:tr>
      <w:tr w14:paraId="23A4706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6788A75">
            <w:pPr>
              <w:pStyle w:val="20"/>
              <w:spacing w:line="360" w:lineRule="auto"/>
              <w:jc w:val="center"/>
              <w:rPr>
                <w:rFonts w:ascii="宋体" w:hAnsi="宋体" w:cs="Arial"/>
                <w:kern w:val="10"/>
                <w:sz w:val="24"/>
                <w:highlight w:val="none"/>
              </w:rPr>
            </w:pPr>
            <w:r>
              <w:rPr>
                <w:rFonts w:ascii="宋体" w:hAnsi="宋体"/>
                <w:sz w:val="24"/>
                <w:highlight w:val="none"/>
              </w:rPr>
              <w:t>2-</w:t>
            </w:r>
            <w:r>
              <w:rPr>
                <w:rFonts w:hint="eastAsia" w:ascii="宋体" w:hAnsi="宋体"/>
                <w:sz w:val="24"/>
                <w:highlight w:val="none"/>
              </w:rPr>
              <w:t>1</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481A3AC">
            <w:pPr>
              <w:spacing w:line="360" w:lineRule="auto"/>
              <w:jc w:val="center"/>
              <w:rPr>
                <w:rFonts w:ascii="宋体" w:hAnsi="宋体"/>
                <w:sz w:val="24"/>
                <w:highlight w:val="none"/>
              </w:rPr>
            </w:pPr>
            <w:r>
              <w:rPr>
                <w:rFonts w:ascii="宋体" w:hAnsi="宋体" w:cs="宋体"/>
                <w:kern w:val="0"/>
                <w:sz w:val="24"/>
                <w:highlight w:val="none"/>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74C2870F">
            <w:pPr>
              <w:widowControl/>
              <w:spacing w:line="360" w:lineRule="auto"/>
              <w:rPr>
                <w:rFonts w:ascii="宋体" w:hAnsi="宋体"/>
                <w:sz w:val="24"/>
                <w:highlight w:val="none"/>
              </w:rPr>
            </w:pPr>
            <w:r>
              <w:rPr>
                <w:rFonts w:hint="eastAsia" w:ascii="宋体" w:hAnsi="宋体" w:cs="宋体"/>
                <w:spacing w:val="-4"/>
                <w:sz w:val="24"/>
                <w:highlight w:val="none"/>
              </w:rPr>
              <w:t>供应商</w:t>
            </w:r>
            <w:r>
              <w:rPr>
                <w:rFonts w:hint="eastAsia" w:ascii="宋体" w:hAnsi="宋体" w:cs="宋体"/>
                <w:sz w:val="24"/>
                <w:highlight w:val="none"/>
              </w:rPr>
              <w:t>具有</w:t>
            </w:r>
            <w:bookmarkStart w:id="1" w:name="OLE_LINK1"/>
            <w:r>
              <w:rPr>
                <w:rFonts w:hint="eastAsia" w:ascii="宋体" w:hAnsi="宋体" w:cs="宋体"/>
                <w:sz w:val="24"/>
                <w:highlight w:val="none"/>
              </w:rPr>
              <w:t>质量管理体系</w:t>
            </w:r>
            <w:r>
              <w:rPr>
                <w:rFonts w:hint="eastAsia" w:ascii="宋体" w:hAnsi="宋体" w:cs="宋体"/>
                <w:sz w:val="24"/>
                <w:highlight w:val="none"/>
                <w:lang w:eastAsia="zh-CN"/>
              </w:rPr>
              <w:t>、</w:t>
            </w:r>
            <w:r>
              <w:rPr>
                <w:rFonts w:hint="eastAsia" w:ascii="宋体" w:hAnsi="宋体" w:cs="宋体"/>
                <w:sz w:val="24"/>
                <w:highlight w:val="none"/>
              </w:rPr>
              <w:t>职业健康安全管理体系</w:t>
            </w:r>
            <w:r>
              <w:rPr>
                <w:rFonts w:hint="eastAsia" w:ascii="宋体" w:hAnsi="宋体" w:cs="宋体"/>
                <w:sz w:val="24"/>
                <w:highlight w:val="none"/>
                <w:lang w:eastAsia="zh-CN"/>
              </w:rPr>
              <w:t>、</w:t>
            </w:r>
            <w:r>
              <w:rPr>
                <w:rFonts w:hint="eastAsia" w:ascii="宋体" w:hAnsi="宋体" w:cs="宋体"/>
                <w:sz w:val="24"/>
                <w:highlight w:val="none"/>
              </w:rPr>
              <w:t>环境管理</w:t>
            </w:r>
            <w:bookmarkEnd w:id="1"/>
            <w:r>
              <w:rPr>
                <w:rFonts w:hint="eastAsia" w:ascii="宋体" w:hAnsi="宋体" w:cs="宋体"/>
                <w:sz w:val="24"/>
                <w:highlight w:val="none"/>
              </w:rPr>
              <w:t>体系认证证书得</w:t>
            </w:r>
            <w:r>
              <w:rPr>
                <w:rFonts w:ascii="宋体" w:hAnsi="宋体" w:cs="宋体"/>
                <w:sz w:val="24"/>
                <w:highlight w:val="none"/>
              </w:rPr>
              <w:t>2</w:t>
            </w:r>
            <w:r>
              <w:rPr>
                <w:rFonts w:hint="eastAsia" w:ascii="宋体" w:hAnsi="宋体" w:cs="宋体"/>
                <w:sz w:val="24"/>
                <w:highlight w:val="none"/>
              </w:rPr>
              <w:t>分。需提供有效认证证书复印件，否则不得分。</w:t>
            </w:r>
          </w:p>
        </w:tc>
      </w:tr>
      <w:tr w14:paraId="395117F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41B74E9">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2</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11DAC51">
            <w:pPr>
              <w:spacing w:line="360" w:lineRule="auto"/>
              <w:jc w:val="center"/>
              <w:rPr>
                <w:rFonts w:ascii="宋体" w:hAnsi="宋体" w:cs="宋体"/>
                <w:kern w:val="0"/>
                <w:sz w:val="24"/>
                <w:highlight w:val="none"/>
              </w:rPr>
            </w:pPr>
            <w:r>
              <w:rPr>
                <w:rFonts w:ascii="宋体" w:hAnsi="宋体" w:cs="宋体"/>
                <w:kern w:val="0"/>
                <w:sz w:val="24"/>
                <w:highlight w:val="none"/>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60F6698B">
            <w:pPr>
              <w:widowControl/>
              <w:spacing w:line="360" w:lineRule="auto"/>
              <w:rPr>
                <w:rFonts w:ascii="宋体" w:hAnsi="宋体" w:cs="宋体"/>
                <w:spacing w:val="-4"/>
                <w:sz w:val="24"/>
                <w:highlight w:val="none"/>
              </w:rPr>
            </w:pPr>
            <w:r>
              <w:rPr>
                <w:rFonts w:hint="eastAsia" w:ascii="宋体" w:hAnsi="宋体" w:cs="宋体"/>
                <w:spacing w:val="-4"/>
                <w:sz w:val="24"/>
                <w:highlight w:val="none"/>
              </w:rPr>
              <w:t>供应商</w:t>
            </w:r>
            <w:r>
              <w:rPr>
                <w:rFonts w:hint="eastAsia" w:ascii="宋体" w:hAnsi="宋体" w:cs="宋体"/>
                <w:sz w:val="24"/>
                <w:highlight w:val="none"/>
              </w:rPr>
              <w:t>具有</w:t>
            </w:r>
            <w:r>
              <w:rPr>
                <w:rFonts w:hint="eastAsia" w:ascii="宋体" w:hAnsi="宋体" w:cs="宋体"/>
                <w:sz w:val="24"/>
                <w:highlight w:val="none"/>
                <w:lang w:val="en-US" w:eastAsia="zh-CN"/>
              </w:rPr>
              <w:t>企业</w:t>
            </w:r>
            <w:r>
              <w:rPr>
                <w:rFonts w:hint="eastAsia" w:ascii="宋体" w:hAnsi="宋体" w:cs="宋体"/>
                <w:sz w:val="24"/>
                <w:highlight w:val="none"/>
              </w:rPr>
              <w:t>诚信管理体系认证证书得</w:t>
            </w:r>
            <w:r>
              <w:rPr>
                <w:rFonts w:ascii="宋体" w:hAnsi="宋体" w:cs="宋体"/>
                <w:sz w:val="24"/>
                <w:highlight w:val="none"/>
              </w:rPr>
              <w:t>2</w:t>
            </w:r>
            <w:r>
              <w:rPr>
                <w:rFonts w:hint="eastAsia" w:ascii="宋体" w:hAnsi="宋体" w:cs="宋体"/>
                <w:sz w:val="24"/>
                <w:highlight w:val="none"/>
              </w:rPr>
              <w:t>分。需提供有效认证证书复印件，否则不得分。</w:t>
            </w:r>
          </w:p>
        </w:tc>
      </w:tr>
      <w:tr w14:paraId="665012A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50DF832">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3</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57A5A0A">
            <w:pPr>
              <w:spacing w:line="360" w:lineRule="auto"/>
              <w:jc w:val="center"/>
              <w:rPr>
                <w:rFonts w:ascii="宋体" w:hAnsi="宋体" w:cs="宋体"/>
                <w:kern w:val="0"/>
                <w:sz w:val="24"/>
                <w:highlight w:val="none"/>
              </w:rPr>
            </w:pPr>
            <w:r>
              <w:rPr>
                <w:rFonts w:ascii="宋体" w:hAnsi="宋体" w:cs="宋体"/>
                <w:kern w:val="0"/>
                <w:sz w:val="24"/>
                <w:highlight w:val="none"/>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0646C1D3">
            <w:pPr>
              <w:widowControl/>
              <w:spacing w:line="360" w:lineRule="auto"/>
              <w:rPr>
                <w:rFonts w:ascii="宋体" w:hAnsi="宋体" w:cs="宋体"/>
                <w:spacing w:val="-4"/>
                <w:sz w:val="24"/>
                <w:highlight w:val="none"/>
              </w:rPr>
            </w:pPr>
            <w:r>
              <w:rPr>
                <w:rFonts w:hint="eastAsia" w:ascii="宋体" w:hAnsi="宋体" w:cs="宋体"/>
                <w:spacing w:val="-4"/>
                <w:sz w:val="24"/>
                <w:highlight w:val="none"/>
              </w:rPr>
              <w:t>供应商</w:t>
            </w:r>
            <w:r>
              <w:rPr>
                <w:rFonts w:hint="eastAsia" w:ascii="宋体" w:hAnsi="宋体" w:cs="宋体"/>
                <w:sz w:val="24"/>
                <w:highlight w:val="none"/>
              </w:rPr>
              <w:t>具有</w:t>
            </w:r>
            <w:r>
              <w:rPr>
                <w:rFonts w:hint="eastAsia" w:ascii="宋体" w:hAnsi="宋体" w:cs="宋体"/>
                <w:sz w:val="24"/>
                <w:highlight w:val="none"/>
                <w:lang w:val="en-US" w:eastAsia="zh-CN"/>
              </w:rPr>
              <w:t>能源管理体系</w:t>
            </w:r>
            <w:r>
              <w:rPr>
                <w:rFonts w:hint="eastAsia" w:ascii="宋体" w:hAnsi="宋体" w:cs="宋体"/>
                <w:sz w:val="24"/>
                <w:highlight w:val="none"/>
              </w:rPr>
              <w:t>认证证书得</w:t>
            </w:r>
            <w:r>
              <w:rPr>
                <w:rFonts w:ascii="宋体" w:hAnsi="宋体" w:cs="宋体"/>
                <w:sz w:val="24"/>
                <w:highlight w:val="none"/>
              </w:rPr>
              <w:t>2</w:t>
            </w:r>
            <w:r>
              <w:rPr>
                <w:rFonts w:hint="eastAsia" w:ascii="宋体" w:hAnsi="宋体" w:cs="宋体"/>
                <w:sz w:val="24"/>
                <w:highlight w:val="none"/>
              </w:rPr>
              <w:t>分。需提供有效认证证书复印件，否则不得分。</w:t>
            </w:r>
          </w:p>
        </w:tc>
      </w:tr>
      <w:tr w14:paraId="31EAE53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8467862">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4</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9F6F4F8">
            <w:pPr>
              <w:spacing w:line="360" w:lineRule="auto"/>
              <w:jc w:val="center"/>
              <w:rPr>
                <w:rFonts w:ascii="宋体" w:hAnsi="宋体" w:cs="宋体"/>
                <w:kern w:val="0"/>
                <w:sz w:val="24"/>
                <w:highlight w:val="none"/>
              </w:rPr>
            </w:pPr>
            <w:r>
              <w:rPr>
                <w:rFonts w:ascii="宋体" w:hAnsi="宋体" w:cs="宋体"/>
                <w:kern w:val="0"/>
                <w:sz w:val="24"/>
                <w:highlight w:val="none"/>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03BEAC64">
            <w:pPr>
              <w:widowControl/>
              <w:spacing w:line="360" w:lineRule="auto"/>
              <w:rPr>
                <w:rFonts w:ascii="宋体" w:hAnsi="宋体" w:cs="宋体"/>
                <w:sz w:val="24"/>
                <w:highlight w:val="none"/>
              </w:rPr>
            </w:pPr>
            <w:r>
              <w:rPr>
                <w:rFonts w:hint="eastAsia" w:ascii="宋体" w:hAnsi="宋体" w:cs="宋体"/>
                <w:sz w:val="24"/>
                <w:highlight w:val="none"/>
              </w:rPr>
              <w:t>供应商具有</w:t>
            </w:r>
            <w:r>
              <w:rPr>
                <w:rFonts w:hint="eastAsia" w:ascii="宋体" w:hAnsi="宋体" w:cs="宋体"/>
                <w:sz w:val="24"/>
                <w:highlight w:val="none"/>
                <w:lang w:val="en-US" w:eastAsia="zh-CN"/>
              </w:rPr>
              <w:t>信息安全管理</w:t>
            </w:r>
            <w:r>
              <w:rPr>
                <w:rFonts w:hint="eastAsia" w:ascii="宋体" w:hAnsi="宋体" w:cs="宋体"/>
                <w:sz w:val="24"/>
                <w:highlight w:val="none"/>
              </w:rPr>
              <w:t>体系认证证书得</w:t>
            </w:r>
            <w:r>
              <w:rPr>
                <w:rFonts w:ascii="宋体" w:hAnsi="宋体" w:cs="宋体"/>
                <w:sz w:val="24"/>
                <w:highlight w:val="none"/>
              </w:rPr>
              <w:t>2</w:t>
            </w:r>
            <w:r>
              <w:rPr>
                <w:rFonts w:hint="eastAsia" w:ascii="宋体" w:hAnsi="宋体" w:cs="宋体"/>
                <w:sz w:val="24"/>
                <w:highlight w:val="none"/>
              </w:rPr>
              <w:t>分。需提供有效认证证书复印件，否则不得分。</w:t>
            </w:r>
          </w:p>
        </w:tc>
      </w:tr>
      <w:tr w14:paraId="70E1BBD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34FDAFF">
            <w:pPr>
              <w:pStyle w:val="20"/>
              <w:spacing w:line="360" w:lineRule="auto"/>
              <w:jc w:val="center"/>
              <w:rPr>
                <w:rFonts w:ascii="宋体" w:hAnsi="宋体"/>
                <w:sz w:val="24"/>
                <w:highlight w:val="none"/>
              </w:rPr>
            </w:pPr>
            <w:r>
              <w:rPr>
                <w:rFonts w:ascii="宋体" w:hAnsi="宋体"/>
                <w:sz w:val="24"/>
                <w:highlight w:val="none"/>
              </w:rPr>
              <w:t>2-5</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2FF4D0D">
            <w:pPr>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68DC4A8C">
            <w:pPr>
              <w:widowControl/>
              <w:spacing w:line="360" w:lineRule="auto"/>
              <w:rPr>
                <w:rFonts w:hint="eastAsia" w:ascii="宋体" w:hAnsi="宋体" w:cs="宋体"/>
                <w:sz w:val="24"/>
                <w:highlight w:val="none"/>
              </w:rPr>
            </w:pPr>
            <w:r>
              <w:rPr>
                <w:rFonts w:hint="eastAsia" w:ascii="宋体" w:hAnsi="宋体" w:cs="宋体"/>
                <w:sz w:val="24"/>
                <w:highlight w:val="none"/>
              </w:rPr>
              <w:t>供应商具有</w:t>
            </w:r>
            <w:r>
              <w:rPr>
                <w:rFonts w:hint="eastAsia" w:ascii="宋体" w:hAnsi="宋体" w:cs="宋体"/>
                <w:sz w:val="24"/>
                <w:highlight w:val="none"/>
                <w:lang w:val="en-US" w:eastAsia="zh-CN"/>
              </w:rPr>
              <w:t>安全生产标准化</w:t>
            </w:r>
            <w:r>
              <w:rPr>
                <w:rFonts w:hint="eastAsia" w:ascii="宋体" w:hAnsi="宋体" w:cs="宋体"/>
                <w:sz w:val="24"/>
                <w:highlight w:val="none"/>
              </w:rPr>
              <w:t>认证证书得</w:t>
            </w:r>
            <w:r>
              <w:rPr>
                <w:rFonts w:ascii="宋体" w:hAnsi="宋体" w:cs="宋体"/>
                <w:sz w:val="24"/>
                <w:highlight w:val="none"/>
              </w:rPr>
              <w:t>2</w:t>
            </w:r>
            <w:r>
              <w:rPr>
                <w:rFonts w:hint="eastAsia" w:ascii="宋体" w:hAnsi="宋体" w:cs="宋体"/>
                <w:sz w:val="24"/>
                <w:highlight w:val="none"/>
              </w:rPr>
              <w:t>分。需提供有效认证证书复印件，否则不得分。</w:t>
            </w:r>
          </w:p>
        </w:tc>
      </w:tr>
      <w:tr w14:paraId="4197A50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57E164E">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6</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D39D482">
            <w:pPr>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3</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15086794">
            <w:pPr>
              <w:widowControl/>
              <w:spacing w:line="360" w:lineRule="auto"/>
              <w:rPr>
                <w:rFonts w:ascii="宋体" w:hAnsi="宋体" w:cs="宋体"/>
                <w:sz w:val="24"/>
                <w:highlight w:val="none"/>
              </w:rPr>
            </w:pPr>
            <w:r>
              <w:rPr>
                <w:rFonts w:hint="eastAsia" w:ascii="宋体" w:hAnsi="宋体" w:cs="宋体"/>
                <w:sz w:val="24"/>
                <w:highlight w:val="none"/>
              </w:rPr>
              <w:t>供应商承诺能在</w:t>
            </w:r>
            <w:r>
              <w:rPr>
                <w:rFonts w:hint="eastAsia" w:ascii="宋体" w:hAnsi="宋体" w:cs="宋体"/>
                <w:sz w:val="24"/>
                <w:highlight w:val="none"/>
                <w:lang w:val="en-US" w:eastAsia="zh-CN"/>
              </w:rPr>
              <w:t>30分钟</w:t>
            </w:r>
            <w:r>
              <w:rPr>
                <w:rFonts w:hint="eastAsia" w:ascii="宋体" w:hAnsi="宋体" w:cs="宋体"/>
                <w:sz w:val="24"/>
                <w:highlight w:val="none"/>
              </w:rPr>
              <w:t>内响应应急事件，并调配应急人员到现场的得</w:t>
            </w:r>
            <w:r>
              <w:rPr>
                <w:rFonts w:ascii="宋体" w:hAnsi="宋体" w:cs="宋体"/>
                <w:sz w:val="24"/>
                <w:highlight w:val="none"/>
              </w:rPr>
              <w:t>3</w:t>
            </w:r>
            <w:r>
              <w:rPr>
                <w:rFonts w:hint="eastAsia" w:ascii="宋体" w:hAnsi="宋体" w:cs="宋体"/>
                <w:sz w:val="24"/>
                <w:highlight w:val="none"/>
              </w:rPr>
              <w:t>分。须提供承诺函及响应方案，否则不得分。</w:t>
            </w:r>
          </w:p>
        </w:tc>
      </w:tr>
      <w:tr w14:paraId="3F6EDE2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74525DE">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7</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4FC8DEB">
            <w:pPr>
              <w:spacing w:line="360" w:lineRule="auto"/>
              <w:jc w:val="center"/>
              <w:rPr>
                <w:rFonts w:hint="eastAsia" w:ascii="宋体" w:hAnsi="宋体" w:eastAsia="宋体" w:cs="宋体"/>
                <w:kern w:val="0"/>
                <w:sz w:val="24"/>
                <w:highlight w:val="none"/>
                <w:lang w:eastAsia="zh-CN"/>
              </w:rPr>
            </w:pPr>
            <w:r>
              <w:rPr>
                <w:rFonts w:hint="eastAsia" w:ascii="宋体" w:hAnsi="宋体"/>
                <w:sz w:val="24"/>
                <w:highlight w:val="none"/>
                <w:lang w:val="en-US" w:eastAsia="zh-CN"/>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6FCD3719">
            <w:pPr>
              <w:widowControl/>
              <w:spacing w:line="360" w:lineRule="auto"/>
              <w:rPr>
                <w:rFonts w:ascii="宋体" w:hAnsi="宋体" w:cs="宋体"/>
                <w:sz w:val="24"/>
                <w:highlight w:val="none"/>
              </w:rPr>
            </w:pPr>
            <w:r>
              <w:rPr>
                <w:rFonts w:hint="eastAsia" w:ascii="宋体" w:hAnsi="宋体" w:cs="宋体"/>
                <w:sz w:val="24"/>
                <w:highlight w:val="none"/>
                <w:lang w:val="zh-TW"/>
              </w:rPr>
              <w:t>供应商可提供厦门本地化服务的得</w:t>
            </w:r>
            <w:r>
              <w:rPr>
                <w:rFonts w:hint="eastAsia" w:ascii="宋体" w:hAnsi="宋体" w:cs="宋体"/>
                <w:sz w:val="24"/>
                <w:highlight w:val="none"/>
                <w:lang w:val="en-US" w:eastAsia="zh-CN"/>
              </w:rPr>
              <w:t>2</w:t>
            </w:r>
            <w:r>
              <w:rPr>
                <w:rFonts w:hint="eastAsia" w:ascii="宋体" w:hAnsi="宋体" w:cs="宋体"/>
                <w:sz w:val="24"/>
                <w:highlight w:val="none"/>
                <w:lang w:val="zh-TW"/>
              </w:rPr>
              <w:t>分，否则不得分。供应商可提供合作单位协议或者自身机构的营业执照证明，也可以提供在本地设立的项目部、办公室、办事处等机构证明，或者承诺</w:t>
            </w:r>
            <w:r>
              <w:rPr>
                <w:rFonts w:hint="eastAsia" w:ascii="宋体" w:hAnsi="宋体" w:cs="宋体"/>
                <w:sz w:val="24"/>
                <w:highlight w:val="none"/>
              </w:rPr>
              <w:t>成交</w:t>
            </w:r>
            <w:r>
              <w:rPr>
                <w:rFonts w:hint="eastAsia" w:ascii="宋体" w:hAnsi="宋体" w:cs="宋体"/>
                <w:sz w:val="24"/>
                <w:highlight w:val="none"/>
                <w:lang w:val="zh-TW"/>
              </w:rPr>
              <w:t>后提供本地化服务。</w:t>
            </w:r>
          </w:p>
        </w:tc>
      </w:tr>
      <w:tr w14:paraId="074E6DD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EF02F24">
            <w:pPr>
              <w:pStyle w:val="20"/>
              <w:spacing w:line="360" w:lineRule="auto"/>
              <w:jc w:val="center"/>
              <w:rPr>
                <w:rFonts w:ascii="宋体" w:hAnsi="宋体"/>
                <w:sz w:val="24"/>
                <w:highlight w:val="none"/>
              </w:rPr>
            </w:pPr>
            <w:r>
              <w:rPr>
                <w:rFonts w:ascii="宋体" w:hAnsi="宋体"/>
                <w:sz w:val="24"/>
                <w:highlight w:val="none"/>
              </w:rPr>
              <w:t>2-</w:t>
            </w:r>
            <w:r>
              <w:rPr>
                <w:rFonts w:hint="eastAsia" w:ascii="宋体" w:hAnsi="宋体"/>
                <w:sz w:val="24"/>
                <w:highlight w:val="none"/>
              </w:rPr>
              <w:t>8</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D4CE6F4">
            <w:pPr>
              <w:spacing w:line="360" w:lineRule="auto"/>
              <w:jc w:val="center"/>
              <w:rPr>
                <w:rFonts w:hint="eastAsia" w:ascii="宋体" w:hAnsi="宋体" w:eastAsia="宋体" w:cs="宋体"/>
                <w:kern w:val="0"/>
                <w:sz w:val="24"/>
                <w:highlight w:val="none"/>
                <w:lang w:eastAsia="zh-CN"/>
              </w:rPr>
            </w:pPr>
            <w:r>
              <w:rPr>
                <w:rFonts w:hint="eastAsia" w:ascii="宋体" w:hAnsi="宋体"/>
                <w:sz w:val="24"/>
                <w:highlight w:val="none"/>
                <w:lang w:val="en-US" w:eastAsia="zh-CN"/>
              </w:rPr>
              <w:t>2</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61E557AC">
            <w:pPr>
              <w:widowControl/>
              <w:spacing w:line="360" w:lineRule="auto"/>
              <w:rPr>
                <w:rFonts w:ascii="宋体" w:hAnsi="宋体" w:cs="宋体"/>
                <w:sz w:val="24"/>
                <w:highlight w:val="none"/>
              </w:rPr>
            </w:pPr>
            <w:r>
              <w:rPr>
                <w:rFonts w:hint="eastAsia" w:ascii="宋体" w:hAnsi="宋体" w:cs="宋体"/>
                <w:spacing w:val="-4"/>
                <w:sz w:val="24"/>
                <w:highlight w:val="none"/>
              </w:rPr>
              <w:t>供应商</w:t>
            </w:r>
            <w:r>
              <w:rPr>
                <w:rFonts w:hint="eastAsia" w:ascii="宋体" w:hAnsi="宋体" w:cs="宋体"/>
                <w:sz w:val="24"/>
                <w:highlight w:val="none"/>
              </w:rPr>
              <w:t>承诺在成交后为本项目拟投入的所有团队人员购买雇主责任险或意外险（保险期至少包含项目服务期限）的得</w:t>
            </w:r>
            <w:r>
              <w:rPr>
                <w:rFonts w:hint="eastAsia" w:ascii="宋体" w:hAnsi="宋体" w:cs="宋体"/>
                <w:sz w:val="24"/>
                <w:highlight w:val="none"/>
                <w:lang w:val="en-US" w:eastAsia="zh-CN"/>
              </w:rPr>
              <w:t>2</w:t>
            </w:r>
            <w:r>
              <w:rPr>
                <w:rFonts w:hint="eastAsia" w:ascii="宋体" w:hAnsi="宋体" w:cs="宋体"/>
                <w:sz w:val="24"/>
                <w:highlight w:val="none"/>
              </w:rPr>
              <w:t>分。须</w:t>
            </w:r>
            <w:r>
              <w:rPr>
                <w:rFonts w:ascii="宋体" w:hAnsi="宋体" w:cs="宋体"/>
                <w:sz w:val="24"/>
                <w:highlight w:val="none"/>
              </w:rPr>
              <w:t>提供</w:t>
            </w:r>
            <w:r>
              <w:rPr>
                <w:rFonts w:hint="eastAsia" w:ascii="宋体" w:hAnsi="宋体" w:cs="宋体"/>
                <w:sz w:val="24"/>
                <w:highlight w:val="none"/>
              </w:rPr>
              <w:t>书面承诺，否则不得分</w:t>
            </w:r>
            <w:r>
              <w:rPr>
                <w:rFonts w:hint="eastAsia" w:ascii="宋体" w:hAnsi="宋体" w:cs="宋体"/>
                <w:spacing w:val="-4"/>
                <w:sz w:val="24"/>
                <w:highlight w:val="none"/>
              </w:rPr>
              <w:t>。</w:t>
            </w:r>
          </w:p>
        </w:tc>
      </w:tr>
      <w:tr w14:paraId="055AFF1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286"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53A95157">
            <w:pPr>
              <w:pStyle w:val="2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2-9</w:t>
            </w:r>
          </w:p>
        </w:tc>
        <w:tc>
          <w:tcPr>
            <w:tcW w:w="1278"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11547ABB">
            <w:pPr>
              <w:spacing w:line="360" w:lineRule="auto"/>
              <w:jc w:val="center"/>
              <w:rPr>
                <w:rFonts w:ascii="宋体" w:hAnsi="宋体" w:cs="宋体"/>
                <w:kern w:val="0"/>
                <w:sz w:val="24"/>
                <w:highlight w:val="none"/>
              </w:rPr>
            </w:pPr>
            <w:r>
              <w:rPr>
                <w:rFonts w:hint="eastAsia" w:ascii="宋体" w:hAnsi="宋体"/>
                <w:sz w:val="24"/>
                <w:highlight w:val="none"/>
              </w:rPr>
              <w:t>3</w:t>
            </w:r>
          </w:p>
        </w:tc>
        <w:tc>
          <w:tcPr>
            <w:tcW w:w="5752"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4FC16128">
            <w:pPr>
              <w:adjustRightInd w:val="0"/>
              <w:spacing w:line="360" w:lineRule="auto"/>
              <w:jc w:val="left"/>
              <w:rPr>
                <w:rFonts w:ascii="宋体" w:hAnsi="宋体"/>
                <w:sz w:val="24"/>
                <w:highlight w:val="none"/>
              </w:rPr>
            </w:pPr>
            <w:r>
              <w:rPr>
                <w:rFonts w:hint="eastAsia" w:ascii="宋体" w:hAnsi="宋体"/>
                <w:sz w:val="24"/>
                <w:highlight w:val="none"/>
              </w:rPr>
              <w:t>根据供应商自20</w:t>
            </w:r>
            <w:r>
              <w:rPr>
                <w:rFonts w:ascii="宋体" w:hAnsi="宋体"/>
                <w:sz w:val="24"/>
                <w:highlight w:val="none"/>
              </w:rPr>
              <w:t>21</w:t>
            </w:r>
            <w:r>
              <w:rPr>
                <w:rFonts w:hint="eastAsia" w:ascii="宋体" w:hAnsi="宋体"/>
                <w:sz w:val="24"/>
                <w:highlight w:val="none"/>
              </w:rPr>
              <w:t>年1月1日（以合同签订时间为准）以来</w:t>
            </w:r>
            <w:r>
              <w:rPr>
                <w:rFonts w:ascii="宋体" w:hAnsi="宋体"/>
                <w:color w:val="000000"/>
                <w:sz w:val="24"/>
                <w:highlight w:val="none"/>
              </w:rPr>
              <w:t>的类似业绩进行评分：每个业绩得1分，满分3分。</w:t>
            </w:r>
          </w:p>
          <w:p w14:paraId="5898A106">
            <w:pPr>
              <w:adjustRightInd w:val="0"/>
              <w:spacing w:line="360" w:lineRule="auto"/>
              <w:jc w:val="left"/>
              <w:rPr>
                <w:rFonts w:ascii="宋体" w:hAnsi="宋体"/>
                <w:sz w:val="24"/>
                <w:highlight w:val="none"/>
              </w:rPr>
            </w:pPr>
            <w:r>
              <w:rPr>
                <w:rFonts w:hint="eastAsia" w:ascii="宋体" w:hAnsi="宋体"/>
                <w:sz w:val="24"/>
                <w:highlight w:val="none"/>
              </w:rPr>
              <w:t>注：（1）类似业绩是指：供应商承接的</w:t>
            </w:r>
            <w:r>
              <w:rPr>
                <w:rFonts w:hint="eastAsia" w:ascii="宋体" w:hAnsi="宋体"/>
                <w:sz w:val="24"/>
                <w:highlight w:val="none"/>
                <w:lang w:eastAsia="zh-CN"/>
              </w:rPr>
              <w:t>政府机关办公楼</w:t>
            </w:r>
            <w:r>
              <w:rPr>
                <w:rFonts w:hint="eastAsia" w:ascii="宋体" w:hAnsi="宋体"/>
                <w:sz w:val="24"/>
                <w:highlight w:val="none"/>
              </w:rPr>
              <w:t>物业服务项目</w:t>
            </w:r>
            <w:r>
              <w:rPr>
                <w:rFonts w:hint="eastAsia" w:ascii="宋体" w:hAnsi="宋体"/>
                <w:sz w:val="24"/>
                <w:highlight w:val="none"/>
                <w:lang w:eastAsia="zh-CN"/>
              </w:rPr>
              <w:t>（</w:t>
            </w:r>
            <w:r>
              <w:rPr>
                <w:rFonts w:hint="eastAsia" w:ascii="宋体" w:hAnsi="宋体"/>
                <w:sz w:val="24"/>
                <w:highlight w:val="none"/>
                <w:lang w:val="en-US" w:eastAsia="zh-CN"/>
              </w:rPr>
              <w:t>4000</w:t>
            </w:r>
            <w:r>
              <w:rPr>
                <w:rFonts w:hint="eastAsia" w:ascii="宋体" w:hAnsi="宋体"/>
                <w:sz w:val="24"/>
                <w:szCs w:val="28"/>
              </w:rPr>
              <w:t>㎡</w:t>
            </w:r>
            <w:r>
              <w:rPr>
                <w:rFonts w:hint="eastAsia" w:ascii="宋体" w:hAnsi="宋体"/>
                <w:sz w:val="24"/>
                <w:szCs w:val="28"/>
                <w:lang w:eastAsia="zh-CN"/>
              </w:rPr>
              <w:t>以上</w:t>
            </w:r>
            <w:r>
              <w:rPr>
                <w:rFonts w:hint="eastAsia" w:ascii="宋体" w:hAnsi="宋体"/>
                <w:sz w:val="24"/>
                <w:highlight w:val="none"/>
                <w:lang w:eastAsia="zh-CN"/>
              </w:rPr>
              <w:t>）</w:t>
            </w:r>
            <w:r>
              <w:rPr>
                <w:rFonts w:hint="eastAsia" w:ascii="宋体" w:hAnsi="宋体"/>
                <w:sz w:val="24"/>
                <w:highlight w:val="none"/>
              </w:rPr>
              <w:t>。</w:t>
            </w:r>
          </w:p>
          <w:p w14:paraId="6B97F1CA">
            <w:pPr>
              <w:adjustRightInd w:val="0"/>
              <w:spacing w:line="360" w:lineRule="auto"/>
              <w:jc w:val="left"/>
              <w:rPr>
                <w:rFonts w:ascii="宋体" w:hAnsi="宋体"/>
                <w:sz w:val="24"/>
                <w:highlight w:val="none"/>
              </w:rPr>
            </w:pPr>
            <w:r>
              <w:rPr>
                <w:rFonts w:hint="eastAsia" w:ascii="宋体" w:hAnsi="宋体"/>
                <w:sz w:val="24"/>
                <w:highlight w:val="none"/>
              </w:rPr>
              <w:t>（2）供应商需提供业绩的以下四项证明材料，否则不计分：</w:t>
            </w:r>
          </w:p>
          <w:p w14:paraId="721CD393">
            <w:pPr>
              <w:adjustRightInd w:val="0"/>
              <w:spacing w:line="360" w:lineRule="auto"/>
              <w:jc w:val="left"/>
              <w:rPr>
                <w:rFonts w:ascii="宋体" w:hAnsi="宋体"/>
                <w:sz w:val="24"/>
                <w:highlight w:val="none"/>
              </w:rPr>
            </w:pPr>
            <w:r>
              <w:rPr>
                <w:rFonts w:hint="eastAsia" w:ascii="宋体" w:hAnsi="宋体"/>
                <w:sz w:val="24"/>
                <w:highlight w:val="none"/>
              </w:rPr>
              <w:t>①中标（成交）公告（提供相关网站中标（成交）公告的下载网页并注明网址）；</w:t>
            </w:r>
          </w:p>
          <w:p w14:paraId="723458CA">
            <w:pPr>
              <w:adjustRightInd w:val="0"/>
              <w:spacing w:line="360" w:lineRule="auto"/>
              <w:jc w:val="left"/>
              <w:rPr>
                <w:rFonts w:ascii="宋体" w:hAnsi="宋体"/>
                <w:sz w:val="24"/>
                <w:highlight w:val="none"/>
              </w:rPr>
            </w:pPr>
            <w:r>
              <w:rPr>
                <w:rFonts w:hint="eastAsia" w:ascii="宋体" w:hAnsi="宋体"/>
                <w:sz w:val="24"/>
                <w:highlight w:val="none"/>
              </w:rPr>
              <w:t>②中标（成交）通知书；</w:t>
            </w:r>
          </w:p>
          <w:p w14:paraId="36DEBF2D">
            <w:pPr>
              <w:adjustRightInd w:val="0"/>
              <w:spacing w:line="360" w:lineRule="auto"/>
              <w:jc w:val="left"/>
              <w:rPr>
                <w:rFonts w:ascii="宋体" w:hAnsi="宋体"/>
                <w:sz w:val="24"/>
                <w:highlight w:val="none"/>
              </w:rPr>
            </w:pPr>
            <w:r>
              <w:rPr>
                <w:rFonts w:hint="eastAsia" w:ascii="宋体" w:hAnsi="宋体"/>
                <w:sz w:val="24"/>
                <w:highlight w:val="none"/>
              </w:rPr>
              <w:t>③采购合同文本；</w:t>
            </w:r>
          </w:p>
          <w:p w14:paraId="7FDE5FBF">
            <w:pPr>
              <w:widowControl/>
              <w:spacing w:line="360" w:lineRule="auto"/>
              <w:rPr>
                <w:rFonts w:ascii="宋体" w:hAnsi="宋体" w:cs="宋体"/>
                <w:sz w:val="24"/>
                <w:highlight w:val="none"/>
              </w:rPr>
            </w:pPr>
            <w:r>
              <w:rPr>
                <w:rFonts w:hint="eastAsia" w:ascii="宋体" w:hAnsi="宋体"/>
                <w:sz w:val="24"/>
                <w:highlight w:val="none"/>
              </w:rPr>
              <w:t>④业绩项目已履约完毕的，提供能够证明该业绩项目经验收合格或履约完成的相关证明材料；业绩项目正在履约的，提供履约过程考核合格的相关证明材料。</w:t>
            </w:r>
          </w:p>
        </w:tc>
      </w:tr>
    </w:tbl>
    <w:p w14:paraId="31FEE390">
      <w:pPr>
        <w:widowControl/>
        <w:spacing w:line="360" w:lineRule="auto"/>
        <w:ind w:firstLine="482" w:firstLineChars="200"/>
        <w:jc w:val="left"/>
        <w:rPr>
          <w:rFonts w:ascii="宋体" w:hAnsi="宋体" w:eastAsia="宋体" w:cs="宋体"/>
          <w:b/>
          <w:bCs/>
          <w:kern w:val="0"/>
          <w:sz w:val="24"/>
        </w:rPr>
      </w:pPr>
      <w:r>
        <w:rPr>
          <w:rFonts w:ascii="宋体" w:hAnsi="宋体" w:eastAsia="宋体" w:cs="宋体"/>
          <w:b/>
          <w:bCs/>
          <w:kern w:val="0"/>
          <w:sz w:val="24"/>
        </w:rPr>
        <w:t>（三）报价部分评分</w:t>
      </w:r>
      <w:r>
        <w:rPr>
          <w:rFonts w:hint="eastAsia" w:ascii="宋体" w:hAnsi="宋体" w:eastAsia="宋体" w:cs="宋体"/>
          <w:b/>
          <w:bCs/>
          <w:kern w:val="0"/>
          <w:sz w:val="24"/>
        </w:rPr>
        <w:t>F1：</w:t>
      </w:r>
      <w:r>
        <w:rPr>
          <w:rFonts w:ascii="宋体" w:hAnsi="宋体" w:eastAsia="宋体" w:cs="宋体"/>
          <w:b/>
          <w:bCs/>
          <w:kern w:val="0"/>
          <w:sz w:val="24"/>
        </w:rPr>
        <w:t>满分</w:t>
      </w:r>
      <w:r>
        <w:rPr>
          <w:rFonts w:hint="eastAsia" w:ascii="宋体" w:hAnsi="宋体" w:eastAsia="宋体" w:cs="宋体"/>
          <w:b/>
          <w:bCs/>
          <w:kern w:val="0"/>
          <w:sz w:val="24"/>
          <w:u w:val="single"/>
        </w:rPr>
        <w:t xml:space="preserve"> </w:t>
      </w:r>
      <w:r>
        <w:rPr>
          <w:rFonts w:ascii="宋体" w:hAnsi="宋体" w:eastAsia="宋体" w:cs="宋体"/>
          <w:b/>
          <w:bCs/>
          <w:kern w:val="0"/>
          <w:sz w:val="24"/>
          <w:u w:val="single"/>
        </w:rPr>
        <w:t>20</w:t>
      </w:r>
      <w:r>
        <w:rPr>
          <w:rFonts w:hint="eastAsia" w:ascii="宋体" w:hAnsi="宋体" w:eastAsia="宋体" w:cs="宋体"/>
          <w:b/>
          <w:bCs/>
          <w:kern w:val="0"/>
          <w:sz w:val="24"/>
          <w:u w:val="single"/>
        </w:rPr>
        <w:t xml:space="preserve"> </w:t>
      </w:r>
      <w:r>
        <w:rPr>
          <w:rFonts w:ascii="宋体" w:hAnsi="宋体" w:eastAsia="宋体" w:cs="宋体"/>
          <w:b/>
          <w:bCs/>
          <w:kern w:val="0"/>
          <w:sz w:val="24"/>
        </w:rPr>
        <w:t>分</w:t>
      </w:r>
    </w:p>
    <w:p w14:paraId="5E3FD612">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价格分采用低价优先法计算，即满足磋商文件要求且最后报价最低的供应商的价格为磋商基准价，其价格分为满分。其他供应商的价格分统一按照下列公式计算：磋商报价得分=（磋商基准价／最后磋商报价）×满分值。因落实采购优惠政策需进行价格扣除的，以扣除后的价格计算磋商基准价和最后磋商报价。</w:t>
      </w:r>
    </w:p>
    <w:p w14:paraId="2E2D7F71">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（四）根据采购政策可享有的加分优惠评分</w:t>
      </w:r>
      <w:r>
        <w:rPr>
          <w:rFonts w:hint="eastAsia" w:cs="宋体" w:asciiTheme="minorEastAsia" w:hAnsiTheme="minorEastAsia" w:eastAsiaTheme="minorEastAsia"/>
          <w:b/>
          <w:bCs/>
          <w:kern w:val="0"/>
          <w:sz w:val="24"/>
        </w:rPr>
        <w:t>F4</w:t>
      </w:r>
    </w:p>
    <w:p w14:paraId="227EE107">
      <w:pPr>
        <w:widowControl/>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优先类节能产品、环境标志产品：无</w:t>
      </w:r>
      <w:r>
        <w:rPr>
          <w:rFonts w:hint="eastAsia" w:cs="宋体" w:asciiTheme="minorEastAsia" w:hAnsiTheme="minorEastAsia" w:eastAsiaTheme="minorEastAsia"/>
          <w:color w:val="000000"/>
          <w:kern w:val="0"/>
          <w:sz w:val="24"/>
        </w:rPr>
        <w:t>。</w:t>
      </w:r>
    </w:p>
    <w:p w14:paraId="788B8E40">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（五）价格扣除部分</w:t>
      </w:r>
    </w:p>
    <w:p w14:paraId="1CDD1CBF">
      <w:pPr>
        <w:widowControl/>
        <w:spacing w:line="360" w:lineRule="auto"/>
        <w:ind w:firstLine="480" w:firstLineChars="200"/>
        <w:jc w:val="left"/>
        <w:rPr>
          <w:rFonts w:cs="宋体" w:asciiTheme="minorEastAsia" w:hAnsiTheme="minorEastAsia" w:eastAsiaTheme="minorEastAsia"/>
          <w:kern w:val="0"/>
          <w:sz w:val="24"/>
        </w:rPr>
      </w:pPr>
      <w:r>
        <w:rPr>
          <w:rFonts w:hint="eastAsia" w:cs="Calibri" w:asciiTheme="minorEastAsia" w:hAnsiTheme="minorEastAsia" w:eastAsiaTheme="minorEastAsia"/>
          <w:color w:val="000000"/>
          <w:kern w:val="0"/>
          <w:sz w:val="24"/>
        </w:rPr>
        <w:t>小型、微型企业产品、监狱企业产品、残疾人福利性单位产品</w:t>
      </w:r>
      <w:r>
        <w:rPr>
          <w:rFonts w:hint="eastAsia" w:cs="Calibri" w:asciiTheme="minorEastAsia" w:hAnsiTheme="minorEastAsia" w:eastAsiaTheme="minorEastAsia"/>
          <w:color w:val="000000"/>
          <w:kern w:val="0"/>
          <w:sz w:val="24"/>
          <w:lang w:eastAsia="zh-CN"/>
        </w:rPr>
        <w:t>等</w:t>
      </w:r>
      <w:r>
        <w:rPr>
          <w:rFonts w:hint="eastAsia" w:cs="Calibri" w:asciiTheme="minorEastAsia" w:hAnsiTheme="minorEastAsia" w:eastAsiaTheme="minorEastAsia"/>
          <w:color w:val="000000"/>
          <w:kern w:val="0"/>
          <w:sz w:val="24"/>
        </w:rPr>
        <w:t>价格扣除。</w:t>
      </w:r>
    </w:p>
    <w:p w14:paraId="69A489A6">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（4）成交候选供应商排列规则顺序和并列相同时的处理约定如下：</w:t>
      </w:r>
    </w:p>
    <w:p w14:paraId="6841A355">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a.成交候选供应商按照综合评审总得分（FA）由高到低顺序排列推荐。</w:t>
      </w:r>
    </w:p>
    <w:p w14:paraId="3923E1A6">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b.综合评审总得分（FA）相同的，按照经评审最后磋商报价（即经优惠政策进行价格扣除后的最后报价）由低到高顺序推荐。</w:t>
      </w:r>
    </w:p>
    <w:p w14:paraId="30947B1E">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c.综合评审总得分（FA）且经评审最后磋商报价（即经优惠政策进行价格扣除后的最后报价）仍然相同的，按照最后报价</w:t>
      </w:r>
      <w:r>
        <w:rPr>
          <w:rFonts w:hint="eastAsia" w:cs="宋体" w:asciiTheme="minorEastAsia" w:hAnsiTheme="minorEastAsia" w:eastAsiaTheme="minorEastAsia"/>
          <w:kern w:val="0"/>
          <w:sz w:val="24"/>
        </w:rPr>
        <w:t>由低到高顺序推荐。</w:t>
      </w:r>
    </w:p>
    <w:p w14:paraId="4B43F14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d.综合评审总得分（FA）且经评审最后磋商报价（即经优惠政策进行价格扣除后的最后报价）、最后报价仍然相同的，按照</w:t>
      </w:r>
      <w:r>
        <w:rPr>
          <w:rFonts w:cs="宋体" w:asciiTheme="minorEastAsia" w:hAnsiTheme="minorEastAsia" w:eastAsiaTheme="minorEastAsia"/>
          <w:kern w:val="0"/>
          <w:sz w:val="24"/>
        </w:rPr>
        <w:t>技术指标优劣顺序推荐。</w:t>
      </w:r>
    </w:p>
    <w:p w14:paraId="088B562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e</w:t>
      </w:r>
      <w:r>
        <w:rPr>
          <w:rFonts w:cs="宋体" w:asciiTheme="minorEastAsia" w:hAnsiTheme="minorEastAsia" w:eastAsiaTheme="minorEastAsia"/>
          <w:kern w:val="0"/>
          <w:sz w:val="24"/>
        </w:rPr>
        <w:t>.经前述顺序处理仍然并列相同的，则通过随机抽取方式确定优先顺序推荐。</w:t>
      </w:r>
    </w:p>
    <w:p w14:paraId="64741211">
      <w:pPr>
        <w:widowControl/>
        <w:spacing w:before="120" w:beforeLines="50" w:after="120" w:afterLines="50" w:line="360" w:lineRule="auto"/>
        <w:jc w:val="center"/>
        <w:rPr>
          <w:rFonts w:ascii="宋体" w:hAnsi="宋体" w:cs="宋体"/>
          <w:b/>
          <w:bCs/>
          <w:kern w:val="0"/>
          <w:sz w:val="28"/>
          <w:szCs w:val="28"/>
        </w:rPr>
      </w:pPr>
      <w:r>
        <w:rPr>
          <w:rFonts w:hint="eastAsia" w:ascii="宋体" w:hAnsi="宋体" w:cs="宋体"/>
          <w:b/>
          <w:bCs/>
          <w:kern w:val="0"/>
          <w:sz w:val="28"/>
          <w:szCs w:val="28"/>
          <w:lang w:eastAsia="zh-CN"/>
        </w:rPr>
        <w:t>三</w:t>
      </w:r>
      <w:r>
        <w:rPr>
          <w:rFonts w:ascii="宋体" w:hAnsi="宋体" w:cs="宋体"/>
          <w:b/>
          <w:bCs/>
          <w:kern w:val="0"/>
          <w:sz w:val="28"/>
          <w:szCs w:val="28"/>
        </w:rPr>
        <w:t>、评审报告</w:t>
      </w:r>
    </w:p>
    <w:p w14:paraId="53E60D76">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cs="宋体" w:asciiTheme="minorEastAsia" w:hAnsiTheme="minorEastAsia" w:eastAsiaTheme="minorEastAsia"/>
          <w:kern w:val="0"/>
          <w:sz w:val="24"/>
        </w:rPr>
        <w:t>.1磋商小组完成评审后，应当编写评审报告并提交给采购人。</w:t>
      </w:r>
    </w:p>
    <w:p w14:paraId="11EE908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w:t>
      </w:r>
      <w:r>
        <w:rPr>
          <w:rFonts w:cs="宋体" w:asciiTheme="minorEastAsia" w:hAnsiTheme="minorEastAsia" w:eastAsiaTheme="minorEastAsia"/>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2ADD7E">
      <w:pPr>
        <w:widowControl/>
        <w:spacing w:before="120" w:beforeLines="50" w:after="120" w:afterLines="50" w:line="360" w:lineRule="auto"/>
        <w:jc w:val="center"/>
        <w:rPr>
          <w:rFonts w:ascii="宋体" w:hAnsi="宋体" w:cs="宋体"/>
          <w:b/>
          <w:bCs/>
          <w:kern w:val="0"/>
          <w:sz w:val="28"/>
          <w:szCs w:val="28"/>
        </w:rPr>
      </w:pPr>
      <w:r>
        <w:rPr>
          <w:rFonts w:hint="eastAsia" w:ascii="宋体" w:hAnsi="宋体" w:cs="宋体"/>
          <w:b/>
          <w:bCs/>
          <w:kern w:val="0"/>
          <w:sz w:val="28"/>
          <w:szCs w:val="28"/>
          <w:lang w:eastAsia="zh-CN"/>
        </w:rPr>
        <w:t>四</w:t>
      </w:r>
      <w:r>
        <w:rPr>
          <w:rFonts w:ascii="宋体" w:hAnsi="宋体" w:cs="宋体"/>
          <w:b/>
          <w:bCs/>
          <w:kern w:val="0"/>
          <w:sz w:val="28"/>
          <w:szCs w:val="28"/>
        </w:rPr>
        <w:t>、其他规定</w:t>
      </w:r>
    </w:p>
    <w:p w14:paraId="6F7FCD76">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.1其他规定</w:t>
      </w:r>
    </w:p>
    <w:p w14:paraId="14FA2BE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.1.1评审应全程保密且不得透露给任一供应商或与评审工作无关的人员。</w:t>
      </w:r>
    </w:p>
    <w:p w14:paraId="5C72A5C4">
      <w:pPr>
        <w:widowControl/>
        <w:spacing w:line="360" w:lineRule="auto"/>
        <w:ind w:firstLine="480" w:firstLineChars="2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.1.2若供应商有任何试图干扰具体评审事务，影响磋商小组独立履行职责的行为，其响应无效</w:t>
      </w:r>
      <w:r>
        <w:rPr>
          <w:rFonts w:hint="eastAsia" w:cs="宋体" w:asciiTheme="minorEastAsia" w:hAnsiTheme="minorEastAsia" w:eastAsiaTheme="minorEastAsia"/>
          <w:kern w:val="0"/>
          <w:sz w:val="24"/>
          <w:lang w:eastAsia="zh-CN"/>
        </w:rPr>
        <w:t>。</w:t>
      </w:r>
    </w:p>
    <w:p w14:paraId="5BE62F7A">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.1.3根据采购项目的特点和需要，需要加以详细说明的其他磋商程序规定、要求等内容：</w:t>
      </w:r>
      <w:r>
        <w:rPr>
          <w:rFonts w:hint="eastAsia" w:cs="宋体" w:asciiTheme="minorEastAsia" w:hAnsiTheme="minorEastAsia" w:eastAsiaTheme="minorEastAsia"/>
          <w:kern w:val="0"/>
          <w:sz w:val="24"/>
        </w:rPr>
        <w:t>在磋商过程中出现以下情况之一的，将视同放弃承诺及最后报价，磋商小组将按首次响应文件进行评审：</w:t>
      </w:r>
    </w:p>
    <w:p w14:paraId="107D87BE">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（1）供应商代表未携带有效身份证原件等有效身份证明文件且其承诺和最后报价无法在规定时间内加盖公章的；</w:t>
      </w:r>
    </w:p>
    <w:p w14:paraId="4909EE0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（2）磋商结束前代理机构无法联系到供应商代表且供应商未退出磋商的；</w:t>
      </w:r>
    </w:p>
    <w:p w14:paraId="435AC0E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（3）供应商退出磋商但未提交书面声明的；</w:t>
      </w:r>
    </w:p>
    <w:p w14:paraId="16E3EEA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（4）磋商文件采购需求中的技术、服务要求以及合同草案条款无实质性变动但供应商的最后报价高于首次报价的（经磋商小组认定，首次报价存在明显错误的除外）。</w:t>
      </w:r>
    </w:p>
    <w:p w14:paraId="1A1ED825">
      <w:pPr>
        <w:widowControl/>
        <w:spacing w:line="360" w:lineRule="auto"/>
        <w:jc w:val="left"/>
        <w:rPr>
          <w:rFonts w:cs="宋体" w:asciiTheme="minorEastAsia" w:hAnsiTheme="minorEastAsia" w:eastAsiaTheme="minorEastAsia"/>
          <w:kern w:val="0"/>
          <w:sz w:val="24"/>
        </w:rPr>
      </w:pPr>
    </w:p>
    <w:p w14:paraId="2C56B32C">
      <w:pPr>
        <w:widowControl/>
        <w:spacing w:line="360" w:lineRule="auto"/>
        <w:ind w:firstLine="480" w:firstLineChars="200"/>
        <w:jc w:val="left"/>
        <w:rPr>
          <w:rFonts w:cs="宋体" w:asciiTheme="minorEastAsia" w:hAnsiTheme="minorEastAsia" w:eastAsiaTheme="minorEastAsia"/>
          <w:kern w:val="0"/>
          <w:sz w:val="24"/>
        </w:rPr>
      </w:pPr>
    </w:p>
    <w:p w14:paraId="345DAB94">
      <w:pPr>
        <w:widowControl/>
        <w:jc w:val="left"/>
        <w:rPr>
          <w:rFonts w:ascii="宋体" w:hAnsi="宋体" w:cs="宋体"/>
          <w:kern w:val="0"/>
          <w:sz w:val="24"/>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ascii="宋体" w:hAnsi="宋体" w:cs="宋体"/>
          <w:kern w:val="0"/>
          <w:sz w:val="24"/>
        </w:rPr>
        <w:t> </w:t>
      </w:r>
    </w:p>
    <w:p w14:paraId="0C74E3FC">
      <w:pPr>
        <w:pStyle w:val="2"/>
        <w:spacing w:before="240" w:after="240"/>
        <w:rPr>
          <w:rFonts w:ascii="黑体" w:hAnsi="黑体"/>
        </w:rPr>
      </w:pPr>
      <w:bookmarkStart w:id="2" w:name="_Toc154483103"/>
      <w:r>
        <w:rPr>
          <w:rFonts w:ascii="黑体" w:hAnsi="黑体"/>
        </w:rPr>
        <w:t>采购内容及要求</w:t>
      </w:r>
      <w:bookmarkEnd w:id="2"/>
    </w:p>
    <w:p w14:paraId="7B5AF8BC">
      <w:pPr>
        <w:pStyle w:val="3"/>
        <w:spacing w:before="240" w:after="240"/>
        <w:rPr>
          <w:kern w:val="0"/>
        </w:rPr>
      </w:pPr>
      <w:bookmarkStart w:id="3" w:name="_Toc154483104"/>
      <w:bookmarkStart w:id="4" w:name="_Toc61119825"/>
      <w:r>
        <w:rPr>
          <w:kern w:val="0"/>
        </w:rPr>
        <w:t>一、项目概况</w:t>
      </w:r>
      <w:bookmarkEnd w:id="3"/>
      <w:bookmarkEnd w:id="4"/>
    </w:p>
    <w:p w14:paraId="6C053B5B">
      <w:pPr>
        <w:pStyle w:val="21"/>
        <w:numPr>
          <w:ilvl w:val="0"/>
          <w:numId w:val="1"/>
        </w:numPr>
        <w:spacing w:before="120" w:beforeLines="50" w:after="120" w:afterLines="50" w:line="480" w:lineRule="exact"/>
        <w:ind w:left="0" w:firstLine="0" w:firstLineChars="0"/>
        <w:rPr>
          <w:rFonts w:ascii="宋体" w:hAnsi="宋体"/>
          <w:b/>
          <w:sz w:val="28"/>
          <w:szCs w:val="28"/>
        </w:rPr>
      </w:pPr>
      <w:r>
        <w:rPr>
          <w:rFonts w:hint="eastAsia" w:ascii="宋体" w:hAnsi="宋体"/>
          <w:b/>
          <w:sz w:val="28"/>
          <w:szCs w:val="28"/>
        </w:rPr>
        <w:t>项目概况</w:t>
      </w:r>
    </w:p>
    <w:p w14:paraId="1FC30407">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本项目为共青团厦门市委员会物业管理服务采购项目，成交供应商应严格遵照国家、福建省、厦门市的相关规定进行物业管理工作。本场所位于厦门市天湖路89号，项目总建筑面积：4500 ㎡。</w:t>
      </w:r>
    </w:p>
    <w:p w14:paraId="177E3EA9">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服务期限：2</w:t>
      </w:r>
      <w:r>
        <w:rPr>
          <w:rFonts w:ascii="宋体" w:hAnsi="宋体"/>
          <w:sz w:val="24"/>
          <w:szCs w:val="28"/>
        </w:rPr>
        <w:t>02</w:t>
      </w:r>
      <w:r>
        <w:rPr>
          <w:rFonts w:hint="eastAsia" w:ascii="宋体" w:hAnsi="宋体"/>
          <w:sz w:val="24"/>
          <w:szCs w:val="28"/>
          <w:lang w:val="en-US" w:eastAsia="zh-CN"/>
        </w:rPr>
        <w:t>5</w:t>
      </w:r>
      <w:r>
        <w:rPr>
          <w:rFonts w:hint="eastAsia" w:ascii="宋体" w:hAnsi="宋体"/>
          <w:sz w:val="24"/>
          <w:szCs w:val="28"/>
        </w:rPr>
        <w:t>年</w:t>
      </w:r>
      <w:r>
        <w:rPr>
          <w:rFonts w:ascii="宋体" w:hAnsi="宋体"/>
          <w:sz w:val="24"/>
          <w:szCs w:val="28"/>
        </w:rPr>
        <w:t>1</w:t>
      </w:r>
      <w:r>
        <w:rPr>
          <w:rFonts w:hint="eastAsia" w:ascii="宋体" w:hAnsi="宋体"/>
          <w:sz w:val="24"/>
          <w:szCs w:val="28"/>
        </w:rPr>
        <w:t>月1日至202</w:t>
      </w:r>
      <w:r>
        <w:rPr>
          <w:rFonts w:hint="eastAsia" w:ascii="宋体" w:hAnsi="宋体"/>
          <w:sz w:val="24"/>
          <w:szCs w:val="28"/>
          <w:lang w:val="en-US" w:eastAsia="zh-CN"/>
        </w:rPr>
        <w:t>5</w:t>
      </w:r>
      <w:r>
        <w:rPr>
          <w:rFonts w:hint="eastAsia" w:ascii="宋体" w:hAnsi="宋体"/>
          <w:sz w:val="24"/>
          <w:szCs w:val="28"/>
        </w:rPr>
        <w:t>年12月31日，共</w:t>
      </w:r>
      <w:r>
        <w:rPr>
          <w:rFonts w:ascii="宋体" w:hAnsi="宋体"/>
          <w:sz w:val="24"/>
          <w:szCs w:val="28"/>
        </w:rPr>
        <w:t>12</w:t>
      </w:r>
      <w:r>
        <w:rPr>
          <w:rFonts w:hint="eastAsia" w:ascii="宋体" w:hAnsi="宋体"/>
          <w:sz w:val="24"/>
          <w:szCs w:val="28"/>
        </w:rPr>
        <w:t>个月。</w:t>
      </w:r>
    </w:p>
    <w:p w14:paraId="3F4C7C61">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续签情形：在本项目资金有保障、采购需求未发生变化，且成交供应商的服务质量通过采购人考核的前提下，本项目可续签一年服务合同。</w:t>
      </w:r>
    </w:p>
    <w:p w14:paraId="6136A31F">
      <w:pPr>
        <w:pStyle w:val="21"/>
        <w:numPr>
          <w:ilvl w:val="1"/>
          <w:numId w:val="1"/>
        </w:numPr>
        <w:tabs>
          <w:tab w:val="left" w:pos="993"/>
        </w:tabs>
        <w:spacing w:line="480" w:lineRule="exact"/>
        <w:ind w:firstLineChars="0"/>
        <w:rPr>
          <w:rFonts w:ascii="宋体" w:hAnsi="宋体"/>
          <w:b/>
          <w:sz w:val="24"/>
          <w:szCs w:val="28"/>
        </w:rPr>
      </w:pPr>
      <w:r>
        <w:rPr>
          <w:rFonts w:hint="eastAsia" w:ascii="宋体" w:hAnsi="宋体"/>
          <w:b/>
          <w:sz w:val="24"/>
          <w:szCs w:val="28"/>
        </w:rPr>
        <w:t>人员基本要求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895"/>
        <w:gridCol w:w="1631"/>
      </w:tblGrid>
      <w:tr w14:paraId="1484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14:paraId="081CD247">
            <w:pPr>
              <w:tabs>
                <w:tab w:val="left" w:pos="840"/>
              </w:tabs>
              <w:spacing w:line="420" w:lineRule="exact"/>
              <w:jc w:val="center"/>
              <w:rPr>
                <w:rFonts w:ascii="宋体" w:hAnsi="宋体"/>
                <w:b/>
                <w:sz w:val="24"/>
              </w:rPr>
            </w:pPr>
            <w:r>
              <w:rPr>
                <w:rFonts w:hint="eastAsia" w:ascii="宋体" w:hAnsi="宋体"/>
                <w:b/>
                <w:sz w:val="24"/>
              </w:rPr>
              <w:t>序号</w:t>
            </w:r>
          </w:p>
        </w:tc>
        <w:tc>
          <w:tcPr>
            <w:tcW w:w="4895" w:type="dxa"/>
            <w:tcBorders>
              <w:top w:val="single" w:color="auto" w:sz="4" w:space="0"/>
              <w:left w:val="single" w:color="auto" w:sz="4" w:space="0"/>
              <w:bottom w:val="single" w:color="auto" w:sz="4" w:space="0"/>
              <w:right w:val="single" w:color="auto" w:sz="4" w:space="0"/>
            </w:tcBorders>
            <w:vAlign w:val="center"/>
          </w:tcPr>
          <w:p w14:paraId="54BBA47D">
            <w:pPr>
              <w:tabs>
                <w:tab w:val="left" w:pos="840"/>
              </w:tabs>
              <w:spacing w:line="420" w:lineRule="exact"/>
              <w:jc w:val="center"/>
              <w:rPr>
                <w:rFonts w:ascii="宋体" w:hAnsi="宋体"/>
                <w:b/>
                <w:sz w:val="24"/>
              </w:rPr>
            </w:pPr>
            <w:r>
              <w:rPr>
                <w:rFonts w:hint="eastAsia" w:ascii="宋体" w:hAnsi="宋体"/>
                <w:b/>
                <w:sz w:val="24"/>
              </w:rPr>
              <w:t>岗位设置</w:t>
            </w:r>
          </w:p>
        </w:tc>
        <w:tc>
          <w:tcPr>
            <w:tcW w:w="1631" w:type="dxa"/>
            <w:tcBorders>
              <w:top w:val="single" w:color="auto" w:sz="4" w:space="0"/>
              <w:left w:val="single" w:color="auto" w:sz="4" w:space="0"/>
              <w:bottom w:val="single" w:color="auto" w:sz="4" w:space="0"/>
              <w:right w:val="single" w:color="auto" w:sz="4" w:space="0"/>
            </w:tcBorders>
            <w:vAlign w:val="center"/>
          </w:tcPr>
          <w:p w14:paraId="3DA2402D">
            <w:pPr>
              <w:tabs>
                <w:tab w:val="left" w:pos="840"/>
              </w:tabs>
              <w:spacing w:line="420" w:lineRule="exact"/>
              <w:jc w:val="center"/>
              <w:rPr>
                <w:rFonts w:ascii="宋体" w:hAnsi="宋体"/>
                <w:b/>
                <w:sz w:val="24"/>
              </w:rPr>
            </w:pPr>
            <w:r>
              <w:rPr>
                <w:rFonts w:hint="eastAsia" w:ascii="宋体" w:hAnsi="宋体"/>
                <w:b/>
                <w:sz w:val="24"/>
              </w:rPr>
              <w:t>人数</w:t>
            </w:r>
          </w:p>
        </w:tc>
      </w:tr>
      <w:tr w14:paraId="568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59" w:type="dxa"/>
            <w:tcBorders>
              <w:top w:val="single" w:color="auto" w:sz="4" w:space="0"/>
              <w:left w:val="single" w:color="auto" w:sz="4" w:space="0"/>
              <w:right w:val="single" w:color="auto" w:sz="4" w:space="0"/>
            </w:tcBorders>
            <w:vAlign w:val="center"/>
          </w:tcPr>
          <w:p w14:paraId="4985C2AB">
            <w:pPr>
              <w:tabs>
                <w:tab w:val="left" w:pos="840"/>
              </w:tabs>
              <w:spacing w:line="420" w:lineRule="exact"/>
              <w:jc w:val="center"/>
              <w:rPr>
                <w:rFonts w:ascii="宋体" w:hAnsi="宋体"/>
                <w:sz w:val="24"/>
              </w:rPr>
            </w:pPr>
            <w:r>
              <w:rPr>
                <w:rFonts w:hint="eastAsia" w:ascii="宋体" w:hAnsi="宋体"/>
                <w:sz w:val="24"/>
              </w:rPr>
              <w:t>1</w:t>
            </w:r>
          </w:p>
        </w:tc>
        <w:tc>
          <w:tcPr>
            <w:tcW w:w="4895" w:type="dxa"/>
            <w:tcBorders>
              <w:top w:val="single" w:color="auto" w:sz="4" w:space="0"/>
              <w:left w:val="single" w:color="auto" w:sz="4" w:space="0"/>
              <w:right w:val="single" w:color="auto" w:sz="4" w:space="0"/>
            </w:tcBorders>
            <w:vAlign w:val="center"/>
          </w:tcPr>
          <w:p w14:paraId="2B89E7E6">
            <w:pPr>
              <w:tabs>
                <w:tab w:val="left" w:pos="840"/>
              </w:tabs>
              <w:spacing w:line="420" w:lineRule="exact"/>
              <w:jc w:val="center"/>
              <w:rPr>
                <w:rFonts w:ascii="宋体" w:hAnsi="宋体"/>
                <w:sz w:val="24"/>
              </w:rPr>
            </w:pPr>
            <w:r>
              <w:rPr>
                <w:rFonts w:ascii="宋体" w:hAnsi="宋体"/>
                <w:sz w:val="24"/>
              </w:rPr>
              <w:t>项目</w:t>
            </w:r>
            <w:r>
              <w:rPr>
                <w:rFonts w:hint="eastAsia" w:ascii="宋体" w:hAnsi="宋体"/>
                <w:sz w:val="24"/>
              </w:rPr>
              <w:t>管理员</w:t>
            </w:r>
          </w:p>
        </w:tc>
        <w:tc>
          <w:tcPr>
            <w:tcW w:w="1631" w:type="dxa"/>
            <w:tcBorders>
              <w:top w:val="single" w:color="auto" w:sz="4" w:space="0"/>
              <w:left w:val="single" w:color="auto" w:sz="4" w:space="0"/>
              <w:bottom w:val="single" w:color="auto" w:sz="4" w:space="0"/>
              <w:right w:val="single" w:color="auto" w:sz="4" w:space="0"/>
            </w:tcBorders>
            <w:vAlign w:val="center"/>
          </w:tcPr>
          <w:p w14:paraId="64922ADC">
            <w:pPr>
              <w:tabs>
                <w:tab w:val="left" w:pos="840"/>
              </w:tabs>
              <w:spacing w:line="420" w:lineRule="exact"/>
              <w:jc w:val="center"/>
              <w:rPr>
                <w:rFonts w:ascii="宋体" w:hAnsi="宋体"/>
                <w:sz w:val="24"/>
              </w:rPr>
            </w:pPr>
            <w:r>
              <w:rPr>
                <w:rFonts w:ascii="宋体" w:hAnsi="宋体"/>
                <w:sz w:val="24"/>
              </w:rPr>
              <w:t>至少</w:t>
            </w:r>
            <w:r>
              <w:rPr>
                <w:rFonts w:hint="eastAsia" w:ascii="宋体" w:hAnsi="宋体"/>
                <w:sz w:val="24"/>
              </w:rPr>
              <w:t>1人</w:t>
            </w:r>
          </w:p>
        </w:tc>
      </w:tr>
      <w:tr w14:paraId="614A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59" w:type="dxa"/>
            <w:tcBorders>
              <w:left w:val="single" w:color="auto" w:sz="4" w:space="0"/>
              <w:right w:val="single" w:color="auto" w:sz="4" w:space="0"/>
            </w:tcBorders>
            <w:vAlign w:val="center"/>
          </w:tcPr>
          <w:p w14:paraId="7F3ABEC2">
            <w:pPr>
              <w:tabs>
                <w:tab w:val="left" w:pos="840"/>
              </w:tabs>
              <w:spacing w:line="420" w:lineRule="exact"/>
              <w:jc w:val="center"/>
              <w:rPr>
                <w:rFonts w:ascii="宋体" w:hAnsi="宋体"/>
                <w:sz w:val="24"/>
              </w:rPr>
            </w:pPr>
            <w:r>
              <w:rPr>
                <w:rFonts w:hint="eastAsia" w:ascii="宋体" w:hAnsi="宋体"/>
                <w:sz w:val="24"/>
              </w:rPr>
              <w:t>2</w:t>
            </w:r>
          </w:p>
        </w:tc>
        <w:tc>
          <w:tcPr>
            <w:tcW w:w="4895" w:type="dxa"/>
            <w:tcBorders>
              <w:left w:val="single" w:color="auto" w:sz="4" w:space="0"/>
              <w:right w:val="single" w:color="auto" w:sz="4" w:space="0"/>
            </w:tcBorders>
            <w:vAlign w:val="center"/>
          </w:tcPr>
          <w:p w14:paraId="0BB50221">
            <w:pPr>
              <w:tabs>
                <w:tab w:val="left" w:pos="840"/>
              </w:tabs>
              <w:spacing w:line="420" w:lineRule="exact"/>
              <w:jc w:val="center"/>
              <w:rPr>
                <w:rFonts w:ascii="宋体" w:hAnsi="宋体"/>
                <w:sz w:val="24"/>
              </w:rPr>
            </w:pPr>
            <w:r>
              <w:rPr>
                <w:rFonts w:hint="eastAsia" w:ascii="宋体" w:hAnsi="宋体"/>
                <w:sz w:val="24"/>
              </w:rPr>
              <w:t>保洁人员</w:t>
            </w:r>
          </w:p>
        </w:tc>
        <w:tc>
          <w:tcPr>
            <w:tcW w:w="1631" w:type="dxa"/>
            <w:tcBorders>
              <w:top w:val="single" w:color="auto" w:sz="4" w:space="0"/>
              <w:left w:val="single" w:color="auto" w:sz="4" w:space="0"/>
              <w:bottom w:val="single" w:color="auto" w:sz="4" w:space="0"/>
              <w:right w:val="single" w:color="auto" w:sz="4" w:space="0"/>
            </w:tcBorders>
            <w:vAlign w:val="center"/>
          </w:tcPr>
          <w:p w14:paraId="3A1F63F6">
            <w:pPr>
              <w:tabs>
                <w:tab w:val="left" w:pos="840"/>
              </w:tabs>
              <w:spacing w:line="420" w:lineRule="exact"/>
              <w:jc w:val="center"/>
              <w:rPr>
                <w:rFonts w:ascii="宋体" w:hAnsi="宋体"/>
                <w:sz w:val="24"/>
              </w:rPr>
            </w:pPr>
            <w:r>
              <w:rPr>
                <w:rFonts w:ascii="宋体" w:hAnsi="宋体"/>
                <w:sz w:val="24"/>
              </w:rPr>
              <w:t>至少</w:t>
            </w:r>
            <w:r>
              <w:rPr>
                <w:rFonts w:hint="eastAsia" w:ascii="宋体" w:hAnsi="宋体"/>
                <w:sz w:val="24"/>
              </w:rPr>
              <w:t>1人</w:t>
            </w:r>
          </w:p>
        </w:tc>
      </w:tr>
      <w:tr w14:paraId="485C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59" w:type="dxa"/>
            <w:tcBorders>
              <w:left w:val="single" w:color="auto" w:sz="4" w:space="0"/>
              <w:bottom w:val="single" w:color="auto" w:sz="4" w:space="0"/>
              <w:right w:val="single" w:color="auto" w:sz="4" w:space="0"/>
            </w:tcBorders>
            <w:vAlign w:val="center"/>
          </w:tcPr>
          <w:p w14:paraId="073B2DC0">
            <w:pPr>
              <w:tabs>
                <w:tab w:val="left" w:pos="840"/>
              </w:tabs>
              <w:spacing w:line="420" w:lineRule="exact"/>
              <w:jc w:val="center"/>
              <w:rPr>
                <w:rFonts w:ascii="宋体" w:hAnsi="宋体"/>
                <w:sz w:val="24"/>
              </w:rPr>
            </w:pPr>
            <w:r>
              <w:rPr>
                <w:rFonts w:hint="eastAsia" w:ascii="宋体" w:hAnsi="宋体"/>
                <w:sz w:val="24"/>
              </w:rPr>
              <w:t>3</w:t>
            </w:r>
          </w:p>
        </w:tc>
        <w:tc>
          <w:tcPr>
            <w:tcW w:w="4895" w:type="dxa"/>
            <w:tcBorders>
              <w:left w:val="single" w:color="auto" w:sz="4" w:space="0"/>
              <w:bottom w:val="single" w:color="auto" w:sz="4" w:space="0"/>
              <w:right w:val="single" w:color="auto" w:sz="4" w:space="0"/>
            </w:tcBorders>
            <w:vAlign w:val="center"/>
          </w:tcPr>
          <w:p w14:paraId="0456DD18">
            <w:pPr>
              <w:tabs>
                <w:tab w:val="left" w:pos="840"/>
              </w:tabs>
              <w:spacing w:line="420" w:lineRule="exact"/>
              <w:jc w:val="center"/>
              <w:rPr>
                <w:rFonts w:ascii="宋体" w:hAnsi="宋体"/>
                <w:sz w:val="24"/>
              </w:rPr>
            </w:pPr>
            <w:r>
              <w:rPr>
                <w:rFonts w:hint="eastAsia" w:ascii="宋体" w:hAnsi="宋体"/>
                <w:sz w:val="24"/>
              </w:rPr>
              <w:t>保安人员</w:t>
            </w:r>
          </w:p>
        </w:tc>
        <w:tc>
          <w:tcPr>
            <w:tcW w:w="1631" w:type="dxa"/>
            <w:tcBorders>
              <w:top w:val="single" w:color="auto" w:sz="4" w:space="0"/>
              <w:left w:val="single" w:color="auto" w:sz="4" w:space="0"/>
              <w:bottom w:val="single" w:color="auto" w:sz="4" w:space="0"/>
              <w:right w:val="single" w:color="auto" w:sz="4" w:space="0"/>
            </w:tcBorders>
            <w:vAlign w:val="center"/>
          </w:tcPr>
          <w:p w14:paraId="136C99FE">
            <w:pPr>
              <w:tabs>
                <w:tab w:val="left" w:pos="840"/>
              </w:tabs>
              <w:spacing w:line="420" w:lineRule="exact"/>
              <w:jc w:val="center"/>
              <w:rPr>
                <w:rFonts w:ascii="宋体" w:hAnsi="宋体"/>
                <w:sz w:val="24"/>
              </w:rPr>
            </w:pPr>
            <w:r>
              <w:rPr>
                <w:rFonts w:ascii="宋体" w:hAnsi="宋体"/>
                <w:sz w:val="24"/>
              </w:rPr>
              <w:t>至少</w:t>
            </w:r>
            <w:r>
              <w:rPr>
                <w:rFonts w:hint="eastAsia" w:ascii="宋体" w:hAnsi="宋体"/>
                <w:sz w:val="24"/>
              </w:rPr>
              <w:t>2人</w:t>
            </w:r>
          </w:p>
        </w:tc>
      </w:tr>
      <w:tr w14:paraId="49FF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59" w:type="dxa"/>
            <w:tcBorders>
              <w:left w:val="single" w:color="auto" w:sz="4" w:space="0"/>
              <w:bottom w:val="single" w:color="auto" w:sz="4" w:space="0"/>
              <w:right w:val="single" w:color="auto" w:sz="4" w:space="0"/>
            </w:tcBorders>
            <w:vAlign w:val="center"/>
          </w:tcPr>
          <w:p w14:paraId="1C241423">
            <w:pPr>
              <w:tabs>
                <w:tab w:val="left" w:pos="840"/>
              </w:tabs>
              <w:spacing w:line="420" w:lineRule="exact"/>
              <w:jc w:val="center"/>
              <w:rPr>
                <w:rFonts w:ascii="宋体" w:hAnsi="宋体"/>
                <w:sz w:val="24"/>
              </w:rPr>
            </w:pPr>
            <w:r>
              <w:rPr>
                <w:rFonts w:hint="eastAsia" w:ascii="宋体" w:hAnsi="宋体"/>
                <w:sz w:val="24"/>
              </w:rPr>
              <w:t>4</w:t>
            </w:r>
          </w:p>
        </w:tc>
        <w:tc>
          <w:tcPr>
            <w:tcW w:w="4895" w:type="dxa"/>
            <w:tcBorders>
              <w:left w:val="single" w:color="auto" w:sz="4" w:space="0"/>
              <w:bottom w:val="single" w:color="auto" w:sz="4" w:space="0"/>
              <w:right w:val="single" w:color="auto" w:sz="4" w:space="0"/>
            </w:tcBorders>
            <w:vAlign w:val="center"/>
          </w:tcPr>
          <w:p w14:paraId="2F25428E">
            <w:pPr>
              <w:tabs>
                <w:tab w:val="left" w:pos="840"/>
              </w:tabs>
              <w:spacing w:line="420" w:lineRule="exact"/>
              <w:jc w:val="center"/>
              <w:rPr>
                <w:rFonts w:ascii="宋体" w:hAnsi="宋体"/>
                <w:sz w:val="24"/>
              </w:rPr>
            </w:pPr>
            <w:r>
              <w:rPr>
                <w:rFonts w:hint="eastAsia" w:ascii="宋体" w:hAnsi="宋体"/>
                <w:sz w:val="24"/>
              </w:rPr>
              <w:t>合计</w:t>
            </w:r>
          </w:p>
        </w:tc>
        <w:tc>
          <w:tcPr>
            <w:tcW w:w="1631" w:type="dxa"/>
            <w:tcBorders>
              <w:top w:val="single" w:color="auto" w:sz="4" w:space="0"/>
              <w:left w:val="single" w:color="auto" w:sz="4" w:space="0"/>
              <w:bottom w:val="single" w:color="auto" w:sz="4" w:space="0"/>
              <w:right w:val="single" w:color="auto" w:sz="4" w:space="0"/>
            </w:tcBorders>
            <w:vAlign w:val="center"/>
          </w:tcPr>
          <w:p w14:paraId="43771222">
            <w:pPr>
              <w:tabs>
                <w:tab w:val="left" w:pos="840"/>
              </w:tabs>
              <w:spacing w:line="420" w:lineRule="exact"/>
              <w:jc w:val="center"/>
              <w:rPr>
                <w:rFonts w:ascii="宋体" w:hAnsi="宋体"/>
                <w:sz w:val="24"/>
              </w:rPr>
            </w:pPr>
            <w:r>
              <w:rPr>
                <w:rFonts w:ascii="宋体" w:hAnsi="宋体"/>
                <w:sz w:val="24"/>
              </w:rPr>
              <w:t>至少</w:t>
            </w:r>
            <w:r>
              <w:rPr>
                <w:rFonts w:hint="eastAsia" w:ascii="宋体" w:hAnsi="宋体"/>
                <w:sz w:val="24"/>
              </w:rPr>
              <w:t>4人</w:t>
            </w:r>
          </w:p>
        </w:tc>
      </w:tr>
    </w:tbl>
    <w:p w14:paraId="6AD04403">
      <w:pPr>
        <w:pStyle w:val="3"/>
        <w:spacing w:before="240" w:after="240" w:line="480" w:lineRule="exact"/>
        <w:rPr>
          <w:kern w:val="0"/>
        </w:rPr>
      </w:pPr>
      <w:bookmarkStart w:id="5" w:name="_Toc154483105"/>
      <w:bookmarkStart w:id="6" w:name="_Toc61119826"/>
      <w:r>
        <w:rPr>
          <w:kern w:val="0"/>
        </w:rPr>
        <w:t>二、技术和服务要求</w:t>
      </w:r>
      <w:bookmarkEnd w:id="5"/>
      <w:bookmarkEnd w:id="6"/>
    </w:p>
    <w:p w14:paraId="52CE1396">
      <w:pPr>
        <w:spacing w:line="480" w:lineRule="exact"/>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14:paraId="46D23BEE">
      <w:pPr>
        <w:pStyle w:val="21"/>
        <w:numPr>
          <w:ilvl w:val="0"/>
          <w:numId w:val="1"/>
        </w:numPr>
        <w:spacing w:before="120" w:beforeLines="50" w:after="120" w:afterLines="50" w:line="480" w:lineRule="exact"/>
        <w:ind w:firstLineChars="0"/>
        <w:rPr>
          <w:rFonts w:ascii="宋体" w:hAnsi="宋体"/>
          <w:b/>
          <w:sz w:val="28"/>
          <w:szCs w:val="28"/>
        </w:rPr>
      </w:pPr>
      <w:r>
        <w:rPr>
          <w:rFonts w:hint="eastAsia" w:ascii="宋体" w:hAnsi="宋体"/>
          <w:b/>
          <w:sz w:val="28"/>
          <w:szCs w:val="28"/>
        </w:rPr>
        <w:t>服务要求</w:t>
      </w:r>
    </w:p>
    <w:p w14:paraId="0A51FC85">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项目管理员要求</w:t>
      </w:r>
    </w:p>
    <w:p w14:paraId="065132BE">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配备要求：道德品质好，文明服务意识好，岗位能力好，身体健康。大专及以上文化，具备3年以上物业管理经验。</w:t>
      </w:r>
    </w:p>
    <w:p w14:paraId="74144DE1">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岗位职责：全面负责服务项目的物业管理服务工作，协调场所人员管理，负责敦促监督，按业主规定时限完成各项任务。</w:t>
      </w:r>
    </w:p>
    <w:p w14:paraId="49FCAD0B">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环境卫生服务</w:t>
      </w:r>
    </w:p>
    <w:p w14:paraId="7D876605">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保洁内容</w:t>
      </w:r>
    </w:p>
    <w:p w14:paraId="4E61C4A7">
      <w:pPr>
        <w:pStyle w:val="21"/>
        <w:tabs>
          <w:tab w:val="left" w:pos="993"/>
        </w:tabs>
        <w:spacing w:line="480" w:lineRule="exact"/>
        <w:ind w:left="425" w:firstLine="480"/>
        <w:rPr>
          <w:rFonts w:ascii="宋体" w:hAnsi="宋体"/>
          <w:sz w:val="24"/>
          <w:szCs w:val="28"/>
        </w:rPr>
      </w:pPr>
      <w:r>
        <w:rPr>
          <w:rFonts w:hint="eastAsia" w:ascii="宋体" w:hAnsi="宋体"/>
          <w:sz w:val="24"/>
          <w:szCs w:val="28"/>
        </w:rPr>
        <w:t>①负责所有公共场所(建筑物)公共区域的走廊连廊、楼梯(扶手)、电梯轿厢、门窗、消防箱（栓）及灭火器、标志牌、宣传栏、地板、天花板各种灯具、公共卫生间、洗手台（镜子）的清洁卫生和生活垃圾、办公垃圾、包装垃圾及其它垃圾的收集、清运等。</w:t>
      </w:r>
    </w:p>
    <w:p w14:paraId="17C217CE">
      <w:pPr>
        <w:pStyle w:val="21"/>
        <w:tabs>
          <w:tab w:val="left" w:pos="993"/>
        </w:tabs>
        <w:spacing w:line="480" w:lineRule="exact"/>
        <w:ind w:left="425" w:firstLine="480"/>
        <w:rPr>
          <w:rFonts w:ascii="宋体" w:hAnsi="宋体"/>
          <w:sz w:val="24"/>
          <w:szCs w:val="28"/>
        </w:rPr>
      </w:pPr>
      <w:r>
        <w:rPr>
          <w:rFonts w:hint="eastAsia" w:ascii="宋体" w:hAnsi="宋体"/>
          <w:sz w:val="24"/>
          <w:szCs w:val="28"/>
        </w:rPr>
        <w:t>②负责道路、停车场、绿化带等公共区域的卫生保洁等。</w:t>
      </w:r>
    </w:p>
    <w:p w14:paraId="0C180B36">
      <w:pPr>
        <w:pStyle w:val="21"/>
        <w:tabs>
          <w:tab w:val="left" w:pos="993"/>
        </w:tabs>
        <w:spacing w:line="480" w:lineRule="exact"/>
        <w:ind w:left="425" w:firstLine="480"/>
        <w:rPr>
          <w:rFonts w:ascii="宋体" w:hAnsi="宋体"/>
          <w:sz w:val="24"/>
          <w:szCs w:val="28"/>
        </w:rPr>
      </w:pPr>
      <w:r>
        <w:rPr>
          <w:rFonts w:hint="eastAsia" w:ascii="宋体" w:hAnsi="宋体"/>
          <w:sz w:val="24"/>
          <w:szCs w:val="28"/>
        </w:rPr>
        <w:t>③负责排污沟、屋顶泄水口等的垃圾清理。</w:t>
      </w:r>
    </w:p>
    <w:p w14:paraId="1172D423">
      <w:pPr>
        <w:pStyle w:val="21"/>
        <w:tabs>
          <w:tab w:val="left" w:pos="993"/>
        </w:tabs>
        <w:spacing w:line="480" w:lineRule="exact"/>
        <w:ind w:left="425" w:firstLine="480"/>
        <w:rPr>
          <w:rFonts w:ascii="宋体" w:hAnsi="宋体"/>
          <w:sz w:val="24"/>
          <w:szCs w:val="28"/>
        </w:rPr>
      </w:pPr>
      <w:r>
        <w:rPr>
          <w:rFonts w:hint="eastAsia" w:ascii="宋体" w:hAnsi="宋体"/>
          <w:sz w:val="24"/>
          <w:szCs w:val="28"/>
        </w:rPr>
        <w:t>④负责卫生消杀和除四害，做到无滋生源。</w:t>
      </w:r>
    </w:p>
    <w:p w14:paraId="7D40FB0F">
      <w:pPr>
        <w:pStyle w:val="21"/>
        <w:tabs>
          <w:tab w:val="left" w:pos="993"/>
        </w:tabs>
        <w:spacing w:line="480" w:lineRule="exact"/>
        <w:ind w:left="425" w:firstLine="480"/>
        <w:rPr>
          <w:rFonts w:ascii="宋体" w:hAnsi="宋体"/>
          <w:sz w:val="24"/>
          <w:szCs w:val="28"/>
        </w:rPr>
      </w:pPr>
      <w:r>
        <w:rPr>
          <w:rFonts w:hint="eastAsia" w:ascii="宋体" w:hAnsi="宋体"/>
          <w:sz w:val="24"/>
          <w:szCs w:val="28"/>
        </w:rPr>
        <w:t>⑤每一季度一次的大堂门厅大理石保养、空调清洗。</w:t>
      </w:r>
    </w:p>
    <w:p w14:paraId="40EC5F11">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保洁服务要求</w:t>
      </w:r>
    </w:p>
    <w:p w14:paraId="4707E950">
      <w:pPr>
        <w:pStyle w:val="21"/>
        <w:tabs>
          <w:tab w:val="left" w:pos="993"/>
        </w:tabs>
        <w:spacing w:line="480" w:lineRule="exact"/>
        <w:ind w:left="425" w:firstLine="480"/>
        <w:rPr>
          <w:rFonts w:ascii="宋体" w:hAnsi="宋体"/>
          <w:sz w:val="24"/>
          <w:szCs w:val="28"/>
        </w:rPr>
      </w:pPr>
      <w:r>
        <w:rPr>
          <w:rFonts w:hint="eastAsia" w:ascii="宋体" w:hAnsi="宋体"/>
          <w:sz w:val="24"/>
          <w:szCs w:val="28"/>
        </w:rPr>
        <w:t>①需制定不同季节、月、日等不同时段的保洁措施和方案，配齐训练有素的保洁人员及保洁工具器具。</w:t>
      </w:r>
    </w:p>
    <w:p w14:paraId="158E8F9C">
      <w:pPr>
        <w:pStyle w:val="21"/>
        <w:tabs>
          <w:tab w:val="left" w:pos="993"/>
        </w:tabs>
        <w:spacing w:line="480" w:lineRule="exact"/>
        <w:ind w:left="425" w:firstLine="480"/>
        <w:rPr>
          <w:rFonts w:ascii="宋体" w:hAnsi="宋体"/>
          <w:sz w:val="24"/>
          <w:szCs w:val="28"/>
        </w:rPr>
      </w:pPr>
      <w:r>
        <w:rPr>
          <w:rFonts w:hint="eastAsia" w:ascii="宋体" w:hAnsi="宋体"/>
          <w:sz w:val="24"/>
          <w:szCs w:val="28"/>
        </w:rPr>
        <w:t>②日常室内保洁需保持每2小时巡检一次，形成不间断的擦洗维护，确保无杂物、无污迹、无灰尘、无异味、无积水、无堵塞，四壁光亮，窗明几净，设施设备定期消毒清洗，无卫生死角。</w:t>
      </w:r>
    </w:p>
    <w:p w14:paraId="19281C94">
      <w:pPr>
        <w:pStyle w:val="21"/>
        <w:tabs>
          <w:tab w:val="left" w:pos="993"/>
        </w:tabs>
        <w:spacing w:line="480" w:lineRule="exact"/>
        <w:ind w:left="425" w:firstLine="480"/>
        <w:rPr>
          <w:rFonts w:ascii="宋体" w:hAnsi="宋体"/>
          <w:sz w:val="24"/>
          <w:szCs w:val="28"/>
        </w:rPr>
      </w:pPr>
      <w:r>
        <w:rPr>
          <w:rFonts w:hint="eastAsia" w:ascii="宋体" w:hAnsi="宋体"/>
          <w:sz w:val="24"/>
          <w:szCs w:val="28"/>
        </w:rPr>
        <w:t>③日常室外保洁</w:t>
      </w:r>
      <w:r>
        <w:rPr>
          <w:rFonts w:ascii="宋体" w:hAnsi="宋体"/>
          <w:sz w:val="24"/>
          <w:szCs w:val="28"/>
        </w:rPr>
        <w:t>需</w:t>
      </w:r>
      <w:r>
        <w:rPr>
          <w:rFonts w:hint="eastAsia" w:ascii="宋体" w:hAnsi="宋体"/>
          <w:sz w:val="24"/>
          <w:szCs w:val="28"/>
        </w:rPr>
        <w:t>保持每半天巡检一次以上，形成不间断的清扫维护，确保地面(绿化带)无尘土、痰迹、纸屑、落叶及其它杂物；公共场所干净整洁，设施设备定期消毒清洗，无积水、无异味、无蚊蝇等。</w:t>
      </w:r>
    </w:p>
    <w:p w14:paraId="32DD297E">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安全维序服务</w:t>
      </w:r>
    </w:p>
    <w:p w14:paraId="698D8470">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 xml:space="preserve">人员素质要求 </w:t>
      </w:r>
    </w:p>
    <w:p w14:paraId="751EA955">
      <w:pPr>
        <w:pStyle w:val="21"/>
        <w:tabs>
          <w:tab w:val="left" w:pos="993"/>
        </w:tabs>
        <w:spacing w:line="480" w:lineRule="exact"/>
        <w:ind w:left="425" w:firstLine="480"/>
        <w:rPr>
          <w:rFonts w:ascii="宋体" w:hAnsi="宋体"/>
          <w:sz w:val="24"/>
          <w:szCs w:val="28"/>
        </w:rPr>
      </w:pPr>
      <w:r>
        <w:rPr>
          <w:rFonts w:hint="eastAsia" w:ascii="宋体" w:hAnsi="宋体"/>
          <w:sz w:val="24"/>
          <w:szCs w:val="28"/>
        </w:rPr>
        <w:t>①派驻的保安人员需经过挑选，性别为男性，具备保安员资格证，并经过培训，有素质，保持形象良好。</w:t>
      </w:r>
    </w:p>
    <w:p w14:paraId="34530A41">
      <w:pPr>
        <w:pStyle w:val="21"/>
        <w:tabs>
          <w:tab w:val="left" w:pos="993"/>
        </w:tabs>
        <w:spacing w:line="480" w:lineRule="exact"/>
        <w:ind w:left="425" w:firstLine="480"/>
        <w:rPr>
          <w:rFonts w:ascii="宋体" w:hAnsi="宋体"/>
          <w:sz w:val="24"/>
          <w:szCs w:val="28"/>
        </w:rPr>
      </w:pPr>
      <w:r>
        <w:rPr>
          <w:rFonts w:hint="eastAsia" w:ascii="宋体" w:hAnsi="宋体"/>
          <w:sz w:val="24"/>
          <w:szCs w:val="28"/>
        </w:rPr>
        <w:t>②具有初中(初中以上)文化程度，年龄18至55周岁。</w:t>
      </w:r>
    </w:p>
    <w:p w14:paraId="70BD3A80">
      <w:pPr>
        <w:pStyle w:val="21"/>
        <w:tabs>
          <w:tab w:val="left" w:pos="993"/>
        </w:tabs>
        <w:spacing w:line="480" w:lineRule="exact"/>
        <w:ind w:left="425" w:firstLine="480"/>
        <w:rPr>
          <w:rFonts w:ascii="宋体" w:hAnsi="宋体"/>
          <w:sz w:val="24"/>
          <w:szCs w:val="28"/>
        </w:rPr>
      </w:pPr>
      <w:r>
        <w:rPr>
          <w:rFonts w:hint="eastAsia" w:ascii="宋体" w:hAnsi="宋体"/>
          <w:sz w:val="24"/>
          <w:szCs w:val="28"/>
        </w:rPr>
        <w:t>③品行端正，作风正派，无违法犯罪记录。</w:t>
      </w:r>
    </w:p>
    <w:p w14:paraId="267A2701">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主要工作职责</w:t>
      </w:r>
    </w:p>
    <w:p w14:paraId="3737176C">
      <w:pPr>
        <w:pStyle w:val="21"/>
        <w:tabs>
          <w:tab w:val="left" w:pos="993"/>
        </w:tabs>
        <w:spacing w:line="480" w:lineRule="exact"/>
        <w:ind w:left="425" w:firstLine="480"/>
        <w:rPr>
          <w:rFonts w:ascii="宋体" w:hAnsi="宋体"/>
          <w:sz w:val="24"/>
          <w:szCs w:val="28"/>
        </w:rPr>
      </w:pPr>
      <w:r>
        <w:rPr>
          <w:rFonts w:hint="eastAsia" w:ascii="宋体" w:hAnsi="宋体"/>
          <w:sz w:val="24"/>
          <w:szCs w:val="28"/>
        </w:rPr>
        <w:t>①工作要求：通过保安对服务区域进出人员、物资进行控制，确保采购人工作环境的安全。</w:t>
      </w:r>
    </w:p>
    <w:p w14:paraId="578A5DB4">
      <w:pPr>
        <w:pStyle w:val="21"/>
        <w:tabs>
          <w:tab w:val="left" w:pos="993"/>
        </w:tabs>
        <w:spacing w:line="480" w:lineRule="exact"/>
        <w:ind w:left="425" w:firstLine="480"/>
        <w:rPr>
          <w:rFonts w:ascii="宋体" w:hAnsi="宋体"/>
          <w:sz w:val="24"/>
          <w:szCs w:val="28"/>
        </w:rPr>
      </w:pPr>
      <w:r>
        <w:rPr>
          <w:rFonts w:hint="eastAsia" w:ascii="宋体" w:hAnsi="宋体"/>
          <w:sz w:val="24"/>
          <w:szCs w:val="28"/>
        </w:rPr>
        <w:t>②熟悉本岗位职责及采购人人员的基本情况。根据工作情况需要站岗或坐岗。做好门岗及周边的秩序工作。</w:t>
      </w:r>
    </w:p>
    <w:p w14:paraId="7239A990">
      <w:pPr>
        <w:pStyle w:val="21"/>
        <w:tabs>
          <w:tab w:val="left" w:pos="993"/>
        </w:tabs>
        <w:spacing w:line="480" w:lineRule="exact"/>
        <w:ind w:left="425" w:firstLine="480"/>
        <w:rPr>
          <w:rFonts w:ascii="宋体" w:hAnsi="宋体"/>
          <w:sz w:val="24"/>
          <w:szCs w:val="28"/>
        </w:rPr>
      </w:pPr>
      <w:r>
        <w:rPr>
          <w:rFonts w:hint="eastAsia" w:ascii="宋体" w:hAnsi="宋体"/>
          <w:sz w:val="24"/>
          <w:szCs w:val="28"/>
        </w:rPr>
        <w:t>③负责对办公楼</w:t>
      </w:r>
      <w:r>
        <w:rPr>
          <w:rFonts w:ascii="宋体" w:hAnsi="宋体"/>
          <w:sz w:val="24"/>
          <w:szCs w:val="28"/>
        </w:rPr>
        <w:t>的</w:t>
      </w:r>
      <w:r>
        <w:rPr>
          <w:rFonts w:hint="eastAsia" w:ascii="宋体" w:hAnsi="宋体"/>
          <w:sz w:val="24"/>
          <w:szCs w:val="28"/>
        </w:rPr>
        <w:t>来人、来访进行登记、物资出入管理，车岗负责、车辆进出管理。</w:t>
      </w:r>
    </w:p>
    <w:p w14:paraId="292AFE16">
      <w:pPr>
        <w:pStyle w:val="21"/>
        <w:tabs>
          <w:tab w:val="left" w:pos="993"/>
        </w:tabs>
        <w:spacing w:line="480" w:lineRule="exact"/>
        <w:ind w:left="425" w:firstLine="480"/>
        <w:rPr>
          <w:rFonts w:ascii="宋体" w:hAnsi="宋体"/>
          <w:sz w:val="24"/>
          <w:szCs w:val="28"/>
        </w:rPr>
      </w:pPr>
      <w:r>
        <w:rPr>
          <w:rFonts w:hint="eastAsia" w:ascii="宋体" w:hAnsi="宋体"/>
          <w:sz w:val="24"/>
          <w:szCs w:val="28"/>
        </w:rPr>
        <w:t>④保安员应熟悉各执勤岗的任务范围，协助相关岗位处理疑难问题，巡查各工作区域设施完好情况，并做好记录。</w:t>
      </w:r>
    </w:p>
    <w:p w14:paraId="716266BC">
      <w:pPr>
        <w:pStyle w:val="21"/>
        <w:tabs>
          <w:tab w:val="left" w:pos="993"/>
        </w:tabs>
        <w:spacing w:line="480" w:lineRule="exact"/>
        <w:ind w:left="425" w:firstLine="480"/>
        <w:rPr>
          <w:rFonts w:ascii="宋体" w:hAnsi="宋体"/>
          <w:sz w:val="24"/>
          <w:szCs w:val="28"/>
        </w:rPr>
      </w:pPr>
      <w:r>
        <w:rPr>
          <w:rFonts w:hint="eastAsia" w:ascii="宋体" w:hAnsi="宋体"/>
          <w:sz w:val="24"/>
          <w:szCs w:val="28"/>
        </w:rPr>
        <w:t>⑤负责维持服务区域内的公共秩序，劝离推销人员和其他闲杂人员，纠正占道经营现象，制止打架、斗殴及造成安全隐患的行为；及时发现并制止不文明现象。及时妥当处理群体事件。</w:t>
      </w:r>
    </w:p>
    <w:p w14:paraId="670C24D8">
      <w:pPr>
        <w:pStyle w:val="21"/>
        <w:tabs>
          <w:tab w:val="left" w:pos="993"/>
        </w:tabs>
        <w:spacing w:line="480" w:lineRule="exact"/>
        <w:ind w:left="425" w:firstLine="480"/>
        <w:rPr>
          <w:rFonts w:ascii="宋体" w:hAnsi="宋体"/>
          <w:sz w:val="24"/>
          <w:szCs w:val="28"/>
        </w:rPr>
      </w:pPr>
      <w:r>
        <w:rPr>
          <w:rFonts w:hint="eastAsia" w:ascii="宋体" w:hAnsi="宋体"/>
          <w:sz w:val="24"/>
          <w:szCs w:val="28"/>
        </w:rPr>
        <w:t>⑥巡逻内容：检查治安、防火、防盗等情况，发现情况立即处理，并通知上级；检查消防设备、设施是否完好；巡视建筑物、办公室等玻璃、门、锁是否完好；并做好记录，并上报主管。</w:t>
      </w:r>
    </w:p>
    <w:p w14:paraId="57EE57B2">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绿化养护服务</w:t>
      </w:r>
    </w:p>
    <w:p w14:paraId="6DA730B6">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养护内容</w:t>
      </w:r>
    </w:p>
    <w:p w14:paraId="4204A948">
      <w:pPr>
        <w:pStyle w:val="21"/>
        <w:tabs>
          <w:tab w:val="left" w:pos="993"/>
        </w:tabs>
        <w:spacing w:line="480" w:lineRule="exact"/>
        <w:ind w:left="425" w:firstLine="480"/>
        <w:rPr>
          <w:rFonts w:ascii="宋体" w:hAnsi="宋体"/>
          <w:sz w:val="24"/>
          <w:szCs w:val="28"/>
        </w:rPr>
      </w:pPr>
      <w:r>
        <w:rPr>
          <w:rFonts w:hint="eastAsia" w:ascii="宋体" w:hAnsi="宋体"/>
          <w:sz w:val="24"/>
          <w:szCs w:val="28"/>
        </w:rPr>
        <w:t>①负责室外绿化带植物的浇灌、施肥、修剪、除草、补植扶正、虫害消杀等养护管理。</w:t>
      </w:r>
    </w:p>
    <w:p w14:paraId="47DF100A">
      <w:pPr>
        <w:pStyle w:val="21"/>
        <w:tabs>
          <w:tab w:val="left" w:pos="993"/>
        </w:tabs>
        <w:spacing w:line="480" w:lineRule="exact"/>
        <w:ind w:left="425" w:firstLine="480"/>
        <w:rPr>
          <w:rFonts w:ascii="宋体" w:hAnsi="宋体"/>
          <w:sz w:val="24"/>
          <w:szCs w:val="28"/>
        </w:rPr>
      </w:pPr>
      <w:r>
        <w:rPr>
          <w:rFonts w:hint="eastAsia" w:ascii="宋体" w:hAnsi="宋体"/>
          <w:sz w:val="24"/>
          <w:szCs w:val="28"/>
        </w:rPr>
        <w:t>②负责绿化带的保洁工作。</w:t>
      </w:r>
    </w:p>
    <w:p w14:paraId="53772427">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养护要求</w:t>
      </w:r>
    </w:p>
    <w:p w14:paraId="1CB2C1D0">
      <w:pPr>
        <w:pStyle w:val="21"/>
        <w:tabs>
          <w:tab w:val="left" w:pos="993"/>
        </w:tabs>
        <w:spacing w:line="480" w:lineRule="exact"/>
        <w:ind w:left="425" w:firstLine="480"/>
        <w:rPr>
          <w:rFonts w:ascii="宋体" w:hAnsi="宋体"/>
          <w:sz w:val="24"/>
          <w:szCs w:val="28"/>
        </w:rPr>
      </w:pPr>
      <w:r>
        <w:rPr>
          <w:rFonts w:hint="eastAsia" w:ascii="宋体" w:hAnsi="宋体"/>
          <w:sz w:val="24"/>
          <w:szCs w:val="28"/>
        </w:rPr>
        <w:t>①需按照《厦门市绿化管理中心绿化管养检查考核办法》、《厦门市城市绿地养护管理标准(暂行)》等规定，制定不同季节、年、月、日等不同时段的绿化养护措施和方案。</w:t>
      </w:r>
    </w:p>
    <w:p w14:paraId="10C213A5">
      <w:pPr>
        <w:pStyle w:val="21"/>
        <w:tabs>
          <w:tab w:val="left" w:pos="993"/>
        </w:tabs>
        <w:spacing w:line="480" w:lineRule="exact"/>
        <w:ind w:left="425" w:firstLine="480"/>
        <w:rPr>
          <w:rFonts w:ascii="宋体" w:hAnsi="宋体"/>
          <w:sz w:val="24"/>
          <w:szCs w:val="28"/>
        </w:rPr>
      </w:pPr>
      <w:r>
        <w:rPr>
          <w:rFonts w:hint="eastAsia" w:ascii="宋体" w:hAnsi="宋体"/>
          <w:sz w:val="24"/>
          <w:szCs w:val="28"/>
        </w:rPr>
        <w:t>②在台风、汛期来临之前做好防范准备，之后做好清理恢复等工作。</w:t>
      </w:r>
    </w:p>
    <w:p w14:paraId="00785492">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水电（电梯）设施设备维修维护服务</w:t>
      </w:r>
    </w:p>
    <w:p w14:paraId="23511E49">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维修维护内容</w:t>
      </w:r>
    </w:p>
    <w:p w14:paraId="7A03A7AA">
      <w:pPr>
        <w:pStyle w:val="21"/>
        <w:tabs>
          <w:tab w:val="left" w:pos="993"/>
        </w:tabs>
        <w:spacing w:line="480" w:lineRule="exact"/>
        <w:ind w:left="425" w:firstLine="480"/>
        <w:rPr>
          <w:rFonts w:ascii="宋体" w:hAnsi="宋体"/>
          <w:sz w:val="24"/>
          <w:szCs w:val="28"/>
        </w:rPr>
      </w:pPr>
      <w:r>
        <w:rPr>
          <w:rFonts w:hint="eastAsia" w:ascii="宋体" w:hAnsi="宋体"/>
          <w:sz w:val="24"/>
          <w:szCs w:val="28"/>
        </w:rPr>
        <w:t>①负责所有水电设施设备的日常维修维护，报修响应时间为30分钟内，确保24小时正常运转。</w:t>
      </w:r>
    </w:p>
    <w:p w14:paraId="79442598">
      <w:pPr>
        <w:pStyle w:val="21"/>
        <w:tabs>
          <w:tab w:val="left" w:pos="993"/>
        </w:tabs>
        <w:spacing w:line="480" w:lineRule="exact"/>
        <w:ind w:left="425" w:firstLine="480"/>
        <w:rPr>
          <w:rFonts w:ascii="宋体" w:hAnsi="宋体"/>
          <w:sz w:val="24"/>
          <w:szCs w:val="28"/>
        </w:rPr>
      </w:pPr>
      <w:r>
        <w:rPr>
          <w:rFonts w:hint="eastAsia" w:ascii="宋体" w:hAnsi="宋体"/>
          <w:sz w:val="24"/>
          <w:szCs w:val="28"/>
        </w:rPr>
        <w:t>②负责供水系统水泵房设备、用水设施、消防用水设施的维修维护，定期检查、维护、清洁，并做好记录。</w:t>
      </w:r>
    </w:p>
    <w:p w14:paraId="466331FA">
      <w:pPr>
        <w:pStyle w:val="21"/>
        <w:numPr>
          <w:ilvl w:val="2"/>
          <w:numId w:val="1"/>
        </w:numPr>
        <w:tabs>
          <w:tab w:val="left" w:pos="993"/>
        </w:tabs>
        <w:spacing w:line="480" w:lineRule="exact"/>
        <w:ind w:firstLineChars="0"/>
        <w:rPr>
          <w:rFonts w:ascii="宋体" w:hAnsi="宋体"/>
          <w:b/>
          <w:sz w:val="24"/>
          <w:szCs w:val="28"/>
        </w:rPr>
      </w:pPr>
      <w:r>
        <w:rPr>
          <w:rFonts w:hint="eastAsia" w:ascii="宋体" w:hAnsi="宋体"/>
          <w:b/>
          <w:sz w:val="24"/>
          <w:szCs w:val="28"/>
        </w:rPr>
        <w:t>维修维护要求</w:t>
      </w:r>
    </w:p>
    <w:p w14:paraId="6681241A">
      <w:pPr>
        <w:pStyle w:val="21"/>
        <w:tabs>
          <w:tab w:val="left" w:pos="993"/>
        </w:tabs>
        <w:spacing w:line="480" w:lineRule="exact"/>
        <w:ind w:left="425" w:firstLine="480"/>
        <w:rPr>
          <w:rFonts w:ascii="宋体" w:hAnsi="宋体"/>
          <w:sz w:val="24"/>
          <w:szCs w:val="28"/>
        </w:rPr>
      </w:pPr>
      <w:r>
        <w:rPr>
          <w:rFonts w:hint="eastAsia" w:ascii="宋体" w:hAnsi="宋体"/>
          <w:sz w:val="24"/>
          <w:szCs w:val="28"/>
        </w:rPr>
        <w:t>①需制定水电维修维护方案、措施、制度，作业流程及档案，包括维修流程、设备台帐(设备卡)、24小时巡检值班制度和立报立修制度(响应时间30分钟内)、应急预案、年度检修计划，做好设备运行记录、维修保养记录、维修材料动向表等。</w:t>
      </w:r>
    </w:p>
    <w:p w14:paraId="0352E2F3">
      <w:pPr>
        <w:pStyle w:val="21"/>
        <w:tabs>
          <w:tab w:val="left" w:pos="993"/>
        </w:tabs>
        <w:spacing w:line="480" w:lineRule="exact"/>
        <w:ind w:left="425" w:firstLine="480"/>
        <w:rPr>
          <w:rFonts w:ascii="宋体" w:hAnsi="宋体"/>
          <w:sz w:val="24"/>
          <w:szCs w:val="28"/>
        </w:rPr>
      </w:pPr>
      <w:r>
        <w:rPr>
          <w:rFonts w:hint="eastAsia" w:ascii="宋体" w:hAnsi="宋体"/>
          <w:sz w:val="24"/>
          <w:szCs w:val="28"/>
        </w:rPr>
        <w:t>②负责一部电梯维保及年检、消防系统维保。</w:t>
      </w:r>
    </w:p>
    <w:p w14:paraId="1DD92E2A">
      <w:pPr>
        <w:pStyle w:val="21"/>
        <w:tabs>
          <w:tab w:val="left" w:pos="993"/>
        </w:tabs>
        <w:spacing w:line="480" w:lineRule="exact"/>
        <w:ind w:left="425" w:firstLine="480"/>
        <w:rPr>
          <w:rFonts w:ascii="宋体" w:hAnsi="宋体"/>
          <w:sz w:val="24"/>
          <w:szCs w:val="28"/>
        </w:rPr>
      </w:pPr>
      <w:r>
        <w:rPr>
          <w:rFonts w:hint="eastAsia" w:ascii="宋体" w:hAnsi="宋体"/>
          <w:sz w:val="24"/>
          <w:szCs w:val="28"/>
        </w:rPr>
        <w:t>③电梯发生故障，第一时间联系维保公司按维保合同的要求抢修；发生电梯困人或其它重大事件时，物业管理人员需在五分钟内到现场应急处理，专业技术人员须在半小时内到现场进行救助，以上所有工作应做好记录。</w:t>
      </w:r>
    </w:p>
    <w:p w14:paraId="2FCCC958">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其他服务及要求</w:t>
      </w:r>
    </w:p>
    <w:p w14:paraId="5E54F568">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负责每天信件、报刊杂志的收发。</w:t>
      </w:r>
    </w:p>
    <w:p w14:paraId="7C5778B6">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协助采购人做好大型会议、大型活动时的护管工作；上级领导莅临检查指导时的护管工作。</w:t>
      </w:r>
    </w:p>
    <w:p w14:paraId="42BEC777">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设立服务电话，接受报修、求助、建议、问询、质疑、投诉等各类信息的反馈，并及时收集、反映、处理，建立回访和记录制度。</w:t>
      </w:r>
    </w:p>
    <w:p w14:paraId="2BF7090F">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物业人员不得带外人入内。</w:t>
      </w:r>
    </w:p>
    <w:p w14:paraId="3F233C59">
      <w:pPr>
        <w:pStyle w:val="21"/>
        <w:numPr>
          <w:ilvl w:val="0"/>
          <w:numId w:val="1"/>
        </w:numPr>
        <w:spacing w:before="120" w:beforeLines="50" w:after="120" w:afterLines="50" w:line="480" w:lineRule="exact"/>
        <w:ind w:firstLineChars="0"/>
        <w:rPr>
          <w:rFonts w:ascii="宋体" w:hAnsi="宋体"/>
          <w:b/>
          <w:sz w:val="28"/>
          <w:szCs w:val="28"/>
        </w:rPr>
      </w:pPr>
      <w:r>
        <w:rPr>
          <w:rFonts w:hint="eastAsia" w:ascii="宋体" w:hAnsi="宋体"/>
          <w:b/>
          <w:sz w:val="28"/>
          <w:szCs w:val="28"/>
        </w:rPr>
        <w:t>项目相关要求</w:t>
      </w:r>
    </w:p>
    <w:p w14:paraId="45CEE924">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如若采购人有其他物业管理附带的延伸服务或者项目运营业务需求，成交供应商可优先承办，相关配置及其成本费用结算方案，由双方另行协商、补充约定。</w:t>
      </w:r>
    </w:p>
    <w:p w14:paraId="2DD2D682">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供应商提供的管理方案和人员配备方案</w:t>
      </w:r>
      <w:r>
        <w:rPr>
          <w:rFonts w:ascii="宋体" w:hAnsi="宋体"/>
          <w:sz w:val="24"/>
          <w:szCs w:val="28"/>
        </w:rPr>
        <w:t>需</w:t>
      </w:r>
      <w:r>
        <w:rPr>
          <w:rFonts w:hint="eastAsia" w:ascii="宋体" w:hAnsi="宋体"/>
          <w:sz w:val="24"/>
          <w:szCs w:val="28"/>
        </w:rPr>
        <w:t>满足采购人的实际需求，在工作内容和工作量不变的情况下，采购人不再支付因报价人方案不完整而引起的任何费用。</w:t>
      </w:r>
    </w:p>
    <w:p w14:paraId="0C7BF732">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成交供应商应严格按照相关法律法规的要求合法用工。</w:t>
      </w:r>
    </w:p>
    <w:p w14:paraId="0AC6F4F6">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成交供应商不得有任何经营权转让、挂靠经营、合作经营等行为，一经发现，将取消其成交资格，并赔偿采购人相应的经济损失。</w:t>
      </w:r>
    </w:p>
    <w:p w14:paraId="0DB032E6">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供应商应接受采购人制定的各项规章制度，并根据项目管理的需要建立各种规范化管理制度、工作流程、考核制度及其他相关的工作制度。</w:t>
      </w:r>
    </w:p>
    <w:p w14:paraId="3B9D5781">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供应商应配备所需的管理人员及各专业技术人员，并明确所配人员结构构成、人员数量，建立完善各类人员工作和业绩考核制度。</w:t>
      </w:r>
    </w:p>
    <w:p w14:paraId="1E32C150">
      <w:pPr>
        <w:pStyle w:val="21"/>
        <w:numPr>
          <w:ilvl w:val="1"/>
          <w:numId w:val="1"/>
        </w:numPr>
        <w:tabs>
          <w:tab w:val="left" w:pos="993"/>
        </w:tabs>
        <w:spacing w:line="480" w:lineRule="exact"/>
        <w:ind w:firstLineChars="0"/>
        <w:rPr>
          <w:rFonts w:ascii="宋体" w:hAnsi="宋体"/>
          <w:sz w:val="24"/>
          <w:szCs w:val="28"/>
        </w:rPr>
      </w:pPr>
      <w:r>
        <w:rPr>
          <w:rFonts w:hint="eastAsia" w:ascii="宋体" w:hAnsi="宋体"/>
          <w:sz w:val="24"/>
          <w:szCs w:val="28"/>
        </w:rPr>
        <w:t>所有人员要统一着装（服装款式与颜色须不违反国家有关规定且征得采购人认可），持证上岗，佩带明显的标识，工作人员对应的责任区域要相对固定。无特殊原因，半年内不能随意更换人员，如需更换应事先征得采购人同意。</w:t>
      </w:r>
    </w:p>
    <w:p w14:paraId="1C2EDE8D">
      <w:pPr>
        <w:pStyle w:val="21"/>
        <w:numPr>
          <w:ilvl w:val="0"/>
          <w:numId w:val="1"/>
        </w:numPr>
        <w:spacing w:before="120" w:beforeLines="50" w:after="120" w:afterLines="50" w:line="480" w:lineRule="exact"/>
        <w:ind w:firstLineChars="0"/>
        <w:rPr>
          <w:rFonts w:ascii="宋体" w:hAnsi="宋体"/>
          <w:b/>
          <w:sz w:val="28"/>
          <w:szCs w:val="28"/>
        </w:rPr>
      </w:pPr>
      <w:r>
        <w:rPr>
          <w:rFonts w:hint="eastAsia" w:ascii="宋体" w:hAnsi="宋体"/>
          <w:b/>
          <w:sz w:val="28"/>
          <w:szCs w:val="28"/>
        </w:rPr>
        <w:t>现场踏勘</w:t>
      </w:r>
    </w:p>
    <w:p w14:paraId="41142D53">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本项目不组织统一现场踏勘，供应商可自行对项目现场及周围环境进行踏勘，以便获取有关编制响应文件和签署合同所涉及现场的资料。供应商应自行承担踏勘现场所发生的所有费用。</w:t>
      </w:r>
    </w:p>
    <w:p w14:paraId="3E1B9B20">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现场踏勘联系人：魏</w:t>
      </w:r>
      <w:r>
        <w:rPr>
          <w:rFonts w:ascii="宋体" w:hAnsi="宋体"/>
          <w:sz w:val="24"/>
          <w:szCs w:val="28"/>
        </w:rPr>
        <w:t>先生</w:t>
      </w:r>
      <w:r>
        <w:rPr>
          <w:rFonts w:hint="eastAsia" w:ascii="宋体" w:hAnsi="宋体"/>
          <w:sz w:val="24"/>
          <w:szCs w:val="28"/>
        </w:rPr>
        <w:t>，联系方式：</w:t>
      </w:r>
      <w:r>
        <w:rPr>
          <w:rFonts w:ascii="宋体" w:hAnsi="宋体"/>
          <w:sz w:val="24"/>
          <w:szCs w:val="28"/>
        </w:rPr>
        <w:t>0592-2382000</w:t>
      </w:r>
      <w:r>
        <w:rPr>
          <w:rFonts w:hint="eastAsia" w:ascii="宋体" w:hAnsi="宋体"/>
          <w:sz w:val="24"/>
          <w:szCs w:val="28"/>
        </w:rPr>
        <w:t>。</w:t>
      </w:r>
    </w:p>
    <w:p w14:paraId="441AE986">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14:paraId="577D9DC8">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采购人向供应商提供的有关现场的资料和数据，是采购人现有的能被供应商利用的资料。采购人对供应商做出的理解、推论和结论均不负责任。</w:t>
      </w:r>
    </w:p>
    <w:p w14:paraId="091AF546">
      <w:pPr>
        <w:pStyle w:val="21"/>
        <w:numPr>
          <w:ilvl w:val="0"/>
          <w:numId w:val="1"/>
        </w:numPr>
        <w:spacing w:before="120" w:beforeLines="50" w:after="120" w:afterLines="50" w:line="480" w:lineRule="exact"/>
        <w:ind w:firstLineChars="0"/>
        <w:rPr>
          <w:rFonts w:ascii="宋体" w:hAnsi="宋体"/>
          <w:b/>
          <w:sz w:val="28"/>
          <w:szCs w:val="28"/>
        </w:rPr>
      </w:pPr>
      <w:bookmarkStart w:id="7" w:name="_Toc10592"/>
      <w:bookmarkStart w:id="8" w:name="_Toc88202127"/>
      <w:bookmarkStart w:id="9" w:name="_Toc109051198"/>
      <w:bookmarkStart w:id="10" w:name="_Toc93934701"/>
      <w:bookmarkStart w:id="11" w:name="_Toc88202128"/>
      <w:r>
        <w:rPr>
          <w:rFonts w:hint="eastAsia" w:ascii="宋体" w:hAnsi="宋体"/>
          <w:b/>
          <w:sz w:val="28"/>
          <w:szCs w:val="28"/>
        </w:rPr>
        <w:t>考核标准及惩罚措施</w:t>
      </w:r>
      <w:bookmarkEnd w:id="7"/>
      <w:bookmarkEnd w:id="8"/>
      <w:bookmarkEnd w:id="9"/>
      <w:bookmarkEnd w:id="10"/>
    </w:p>
    <w:p w14:paraId="6A403C51">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物业化服务考评内容：根据实际管理要求，制定各相关部门相关物业管理范围、要求、职责，供供应商作为工作指引并作为采购人检查考核内容。物业服务的项目均为采购人考核内容。</w:t>
      </w:r>
    </w:p>
    <w:p w14:paraId="3D56F0FA">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供应商应结合项目实际情况和“</w:t>
      </w:r>
      <w:r>
        <w:rPr>
          <w:rFonts w:ascii="宋体" w:hAnsi="宋体"/>
          <w:b/>
          <w:sz w:val="24"/>
          <w:szCs w:val="28"/>
        </w:rPr>
        <w:t>5.4</w:t>
      </w:r>
      <w:r>
        <w:rPr>
          <w:rFonts w:hint="eastAsia" w:ascii="宋体" w:hAnsi="宋体"/>
          <w:b/>
          <w:sz w:val="24"/>
          <w:szCs w:val="28"/>
        </w:rPr>
        <w:t>物业化服务考核指标”，针对本项目提供物业管理服务相关考核标准供采购人参考，采购人可依据项目的实际情况对成交供应商提出的考核内容与标准进行调整或补充。</w:t>
      </w:r>
    </w:p>
    <w:p w14:paraId="4B6782D5">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本项目考核标准采用现场检查、临时抽查、随机采访、问卷征询、定点征求意见等方式监督检查。依据事实和效益，客观评价，奖惩挂钩。</w:t>
      </w:r>
    </w:p>
    <w:p w14:paraId="5D130151">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物业化服务考核指标：</w:t>
      </w:r>
    </w:p>
    <w:p w14:paraId="3D265565">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要求按三星级宾馆标准来管理和服务，满意率90%以上。</w:t>
      </w:r>
    </w:p>
    <w:p w14:paraId="02A6DCC9">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各项服务要求完成率100%，满意率达90%及以上。</w:t>
      </w:r>
    </w:p>
    <w:p w14:paraId="5670BD5F">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人力配备、设备配备、管理人员配备、物业管理服务项目范围内的各种技术服务标准不低于磋商文件的要求。</w:t>
      </w:r>
    </w:p>
    <w:p w14:paraId="3E1DC1C0">
      <w:pPr>
        <w:pStyle w:val="21"/>
        <w:numPr>
          <w:ilvl w:val="1"/>
          <w:numId w:val="1"/>
        </w:numPr>
        <w:tabs>
          <w:tab w:val="left" w:pos="993"/>
        </w:tabs>
        <w:spacing w:line="480" w:lineRule="exact"/>
        <w:ind w:left="0" w:firstLine="425" w:firstLineChars="0"/>
        <w:rPr>
          <w:rFonts w:ascii="宋体" w:hAnsi="宋体"/>
          <w:b/>
          <w:sz w:val="24"/>
          <w:szCs w:val="28"/>
        </w:rPr>
      </w:pPr>
      <w:r>
        <w:rPr>
          <w:rFonts w:hint="eastAsia" w:ascii="宋体" w:hAnsi="宋体"/>
          <w:b/>
          <w:sz w:val="24"/>
          <w:szCs w:val="28"/>
        </w:rPr>
        <w:t>物业化服务奖惩办法</w:t>
      </w:r>
    </w:p>
    <w:p w14:paraId="1793AF1A">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采购人每2个月对成交供应商进行考核，每次考核时间由采购人决定，考核时可邀请成交供应商参加。</w:t>
      </w:r>
    </w:p>
    <w:p w14:paraId="169EC43C">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磨合期（服务初期的</w:t>
      </w:r>
      <w:r>
        <w:rPr>
          <w:rFonts w:ascii="宋体" w:hAnsi="宋体"/>
          <w:sz w:val="24"/>
          <w:szCs w:val="28"/>
        </w:rPr>
        <w:t>2</w:t>
      </w:r>
      <w:r>
        <w:rPr>
          <w:rFonts w:hint="eastAsia" w:ascii="宋体" w:hAnsi="宋体"/>
          <w:sz w:val="24"/>
          <w:szCs w:val="28"/>
        </w:rPr>
        <w:t>个月内）考评得分75分及以上为合格，75分以下为不合格。</w:t>
      </w:r>
    </w:p>
    <w:p w14:paraId="63DAF156">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磨合期后考评得分80分及以上为合格，80分以下为不合格。</w:t>
      </w:r>
    </w:p>
    <w:p w14:paraId="151DDBF0">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合同期内若累计两次考核为不合格，采购人有权提前解除合同，成交供应商</w:t>
      </w:r>
      <w:r>
        <w:rPr>
          <w:rFonts w:ascii="宋体" w:hAnsi="宋体"/>
          <w:sz w:val="24"/>
          <w:szCs w:val="28"/>
        </w:rPr>
        <w:t>须承担可能发生的一切法律责任、费用和后果；若采购人因此而遭致损失，则</w:t>
      </w:r>
      <w:r>
        <w:rPr>
          <w:rFonts w:hint="eastAsia" w:ascii="宋体" w:hAnsi="宋体"/>
          <w:sz w:val="24"/>
          <w:szCs w:val="28"/>
        </w:rPr>
        <w:t>成交供应商</w:t>
      </w:r>
      <w:r>
        <w:rPr>
          <w:rFonts w:ascii="宋体" w:hAnsi="宋体"/>
          <w:sz w:val="24"/>
          <w:szCs w:val="28"/>
        </w:rPr>
        <w:t>应赔偿该损失。</w:t>
      </w:r>
    </w:p>
    <w:p w14:paraId="305D71C9">
      <w:pPr>
        <w:pStyle w:val="21"/>
        <w:numPr>
          <w:ilvl w:val="2"/>
          <w:numId w:val="1"/>
        </w:numPr>
        <w:tabs>
          <w:tab w:val="left" w:pos="993"/>
        </w:tabs>
        <w:spacing w:line="480" w:lineRule="exact"/>
        <w:ind w:firstLineChars="0"/>
        <w:rPr>
          <w:rFonts w:ascii="宋体" w:hAnsi="宋体"/>
          <w:sz w:val="24"/>
          <w:szCs w:val="28"/>
        </w:rPr>
      </w:pPr>
      <w:r>
        <w:rPr>
          <w:rFonts w:hint="eastAsia" w:ascii="宋体" w:hAnsi="宋体"/>
          <w:sz w:val="24"/>
          <w:szCs w:val="28"/>
        </w:rPr>
        <w:t>以上考核要求将作为与采购人签署合同的主要条款之一。</w:t>
      </w:r>
    </w:p>
    <w:p w14:paraId="3F301941">
      <w:pPr>
        <w:pStyle w:val="21"/>
        <w:numPr>
          <w:ilvl w:val="0"/>
          <w:numId w:val="1"/>
        </w:numPr>
        <w:spacing w:before="120" w:beforeLines="50" w:after="120" w:afterLines="50" w:line="480" w:lineRule="exact"/>
        <w:ind w:firstLineChars="0"/>
        <w:rPr>
          <w:rFonts w:ascii="宋体" w:hAnsi="宋体"/>
          <w:b/>
          <w:sz w:val="28"/>
          <w:szCs w:val="28"/>
        </w:rPr>
      </w:pPr>
      <w:bookmarkStart w:id="12" w:name="_Toc109051199"/>
      <w:r>
        <w:rPr>
          <w:rFonts w:hint="eastAsia" w:ascii="宋体" w:hAnsi="宋体"/>
          <w:b/>
          <w:sz w:val="28"/>
          <w:szCs w:val="28"/>
        </w:rPr>
        <w:t>风险承担与责任认定机制</w:t>
      </w:r>
      <w:bookmarkEnd w:id="11"/>
      <w:bookmarkEnd w:id="12"/>
    </w:p>
    <w:p w14:paraId="3345B2BF">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成交供应商的服务人员的工伤风险，由成交供应商自行承担。</w:t>
      </w:r>
    </w:p>
    <w:p w14:paraId="13E724F4">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因意外事故或作业安全问题引发的人身伤亡和财产损失，成交供应商依法承担赔偿责任。</w:t>
      </w:r>
    </w:p>
    <w:p w14:paraId="258156C5">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治安事件的责任认定，以公安部门裁定为准；非治安事件的责任认定，由双方协商，协商不成的，以诉讼或仲裁方式认定。</w:t>
      </w:r>
    </w:p>
    <w:p w14:paraId="6DEA8AE5">
      <w:pPr>
        <w:pStyle w:val="21"/>
        <w:numPr>
          <w:ilvl w:val="0"/>
          <w:numId w:val="1"/>
        </w:numPr>
        <w:spacing w:before="120" w:beforeLines="50" w:after="120" w:afterLines="50" w:line="480" w:lineRule="exact"/>
        <w:ind w:firstLineChars="0"/>
        <w:rPr>
          <w:rFonts w:ascii="宋体" w:hAnsi="宋体"/>
          <w:b/>
          <w:sz w:val="28"/>
          <w:szCs w:val="28"/>
        </w:rPr>
      </w:pPr>
      <w:r>
        <w:rPr>
          <w:rFonts w:ascii="宋体" w:hAnsi="宋体"/>
          <w:b/>
          <w:sz w:val="28"/>
          <w:szCs w:val="28"/>
        </w:rPr>
        <w:t>技术响应要求</w:t>
      </w:r>
    </w:p>
    <w:p w14:paraId="59DF7065">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供应商应根据服务要求，制定相应的服务方案，服务方案具体要求详见服务要求及评分条款。</w:t>
      </w:r>
    </w:p>
    <w:p w14:paraId="6BE7C09C">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本章的要求为基本要求，评分条款若有对优于本章要求进行加分的，供应商符合要求并提供相应证明材料的可获加分，具体详见评分条款。</w:t>
      </w:r>
    </w:p>
    <w:p w14:paraId="34D50C6B">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供应商应根据服务要求及评分条款的要求明确成交后投入本项目的管理人员、服务人员等信息，并提供相应的佐证材料，未按要求提供的将可能导致不得分。</w:t>
      </w:r>
    </w:p>
    <w:p w14:paraId="6C4A4680">
      <w:pPr>
        <w:pStyle w:val="21"/>
        <w:numPr>
          <w:ilvl w:val="1"/>
          <w:numId w:val="1"/>
        </w:numPr>
        <w:tabs>
          <w:tab w:val="left" w:pos="993"/>
        </w:tabs>
        <w:spacing w:line="480" w:lineRule="exact"/>
        <w:ind w:left="0" w:firstLine="425" w:firstLineChars="0"/>
        <w:rPr>
          <w:rFonts w:ascii="宋体" w:hAnsi="宋体"/>
          <w:sz w:val="24"/>
          <w:szCs w:val="28"/>
        </w:rPr>
      </w:pPr>
      <w:r>
        <w:rPr>
          <w:rFonts w:ascii="宋体" w:hAnsi="宋体"/>
          <w:sz w:val="24"/>
          <w:szCs w:val="28"/>
        </w:rPr>
        <w:t>评分条款中若要求提供人员社保证明的，</w:t>
      </w:r>
      <w:r>
        <w:rPr>
          <w:rFonts w:hint="eastAsia" w:ascii="宋体" w:hAnsi="宋体"/>
          <w:sz w:val="24"/>
          <w:szCs w:val="28"/>
        </w:rPr>
        <w:t>应提供提交响应文件截止时间前六个月（不含提交响应文件截止时间的当月）中任一月份供应商为人员缴纳社保的凭据或政府部门出具的证明。提交响应文件截止时间当月成立或享受社保减免政策的供应商，无法提供相关社保缴纳证明材料的，提供依法缴纳社会保障资金承诺书（格式自拟）即可。未按要求提供的不予认可。</w:t>
      </w:r>
    </w:p>
    <w:p w14:paraId="787F9056">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供应商成交后不得将本项目转包，否则采购人有权终止合同并追究成交供应商的违约责任。</w:t>
      </w:r>
    </w:p>
    <w:p w14:paraId="50D12C8D">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w:t>
      </w:r>
      <w:r>
        <w:rPr>
          <w:rFonts w:ascii="宋体" w:hAnsi="宋体"/>
          <w:sz w:val="24"/>
          <w:szCs w:val="28"/>
        </w:rPr>
        <w:t>提供的采购标的应符合国家知识产权法律、法规的规定；</w:t>
      </w:r>
      <w:r>
        <w:rPr>
          <w:rFonts w:hint="eastAsia" w:ascii="宋体" w:hAnsi="宋体"/>
          <w:sz w:val="24"/>
          <w:szCs w:val="28"/>
        </w:rPr>
        <w:t>供应商成交</w:t>
      </w:r>
      <w:r>
        <w:rPr>
          <w:rFonts w:ascii="宋体" w:hAnsi="宋体"/>
          <w:sz w:val="24"/>
          <w:szCs w:val="28"/>
        </w:rPr>
        <w:t>后需保证</w:t>
      </w:r>
      <w:r>
        <w:rPr>
          <w:rFonts w:hint="eastAsia" w:ascii="宋体" w:hAnsi="宋体"/>
          <w:sz w:val="24"/>
          <w:szCs w:val="28"/>
        </w:rPr>
        <w:t>采购</w:t>
      </w:r>
      <w:r>
        <w:rPr>
          <w:rFonts w:ascii="宋体" w:hAnsi="宋体"/>
          <w:sz w:val="24"/>
          <w:szCs w:val="28"/>
        </w:rPr>
        <w:t>人不受到第三方关于侵犯知识产权及专利权、商标权或工业设计权等知识产权方面的指控，若任何第三方提出此方面指控均与</w:t>
      </w:r>
      <w:r>
        <w:rPr>
          <w:rFonts w:hint="eastAsia" w:ascii="宋体" w:hAnsi="宋体"/>
          <w:sz w:val="24"/>
          <w:szCs w:val="28"/>
        </w:rPr>
        <w:t>采购人</w:t>
      </w:r>
      <w:r>
        <w:rPr>
          <w:rFonts w:ascii="宋体" w:hAnsi="宋体"/>
          <w:sz w:val="24"/>
          <w:szCs w:val="28"/>
        </w:rPr>
        <w:t>无关，</w:t>
      </w:r>
      <w:r>
        <w:rPr>
          <w:rFonts w:hint="eastAsia" w:ascii="宋体" w:hAnsi="宋体"/>
          <w:sz w:val="24"/>
          <w:szCs w:val="28"/>
        </w:rPr>
        <w:t>成交供应商</w:t>
      </w:r>
      <w:r>
        <w:rPr>
          <w:rFonts w:ascii="宋体" w:hAnsi="宋体"/>
          <w:sz w:val="24"/>
          <w:szCs w:val="28"/>
        </w:rPr>
        <w:t>应与第三方交涉，并承担可能发生的一切法律责任、费用和后果；若</w:t>
      </w:r>
      <w:r>
        <w:rPr>
          <w:rFonts w:hint="eastAsia" w:ascii="宋体" w:hAnsi="宋体"/>
          <w:sz w:val="24"/>
          <w:szCs w:val="28"/>
        </w:rPr>
        <w:t>采购人</w:t>
      </w:r>
      <w:r>
        <w:rPr>
          <w:rFonts w:ascii="宋体" w:hAnsi="宋体"/>
          <w:sz w:val="24"/>
          <w:szCs w:val="28"/>
        </w:rPr>
        <w:t>因此而遭致损失，则</w:t>
      </w:r>
      <w:r>
        <w:rPr>
          <w:rFonts w:hint="eastAsia" w:ascii="宋体" w:hAnsi="宋体"/>
          <w:sz w:val="24"/>
          <w:szCs w:val="28"/>
        </w:rPr>
        <w:t>成交供应商</w:t>
      </w:r>
      <w:r>
        <w:rPr>
          <w:rFonts w:ascii="宋体" w:hAnsi="宋体"/>
          <w:sz w:val="24"/>
          <w:szCs w:val="28"/>
        </w:rPr>
        <w:t>应赔偿该损失。</w:t>
      </w:r>
    </w:p>
    <w:p w14:paraId="03A6FA10">
      <w:pPr>
        <w:pStyle w:val="21"/>
        <w:numPr>
          <w:ilvl w:val="1"/>
          <w:numId w:val="1"/>
        </w:numPr>
        <w:tabs>
          <w:tab w:val="left" w:pos="993"/>
        </w:tabs>
        <w:spacing w:line="480" w:lineRule="exact"/>
        <w:ind w:left="0" w:firstLine="425" w:firstLineChars="0"/>
        <w:rPr>
          <w:rFonts w:ascii="宋体" w:hAnsi="宋体"/>
          <w:sz w:val="24"/>
          <w:szCs w:val="28"/>
        </w:rPr>
      </w:pPr>
      <w:r>
        <w:rPr>
          <w:rFonts w:hint="eastAsia" w:ascii="宋体" w:hAnsi="宋体"/>
          <w:sz w:val="24"/>
          <w:szCs w:val="28"/>
        </w:rPr>
        <w:t>供应商应明确所提供的服务与采购需求存在的正负偏离情况。对照磋商文件要求，在《技术和服务要求响应表》中逐条说明所提供的服务对采购需求的响应情况。供应商若未对采购需求进行逐条响应，将可能导致不利的评审后果。</w:t>
      </w:r>
    </w:p>
    <w:p w14:paraId="37D3ED50">
      <w:pPr>
        <w:pStyle w:val="3"/>
        <w:spacing w:before="240" w:after="240"/>
        <w:rPr>
          <w:kern w:val="0"/>
        </w:rPr>
      </w:pPr>
      <w:bookmarkStart w:id="13" w:name="_Toc154483106"/>
      <w:bookmarkStart w:id="14" w:name="_Toc61119827"/>
      <w:r>
        <w:rPr>
          <w:kern w:val="0"/>
        </w:rPr>
        <w:t>三、商务条件</w:t>
      </w:r>
      <w:bookmarkEnd w:id="13"/>
      <w:bookmarkEnd w:id="14"/>
    </w:p>
    <w:p w14:paraId="5843E410">
      <w:pPr>
        <w:spacing w:line="360" w:lineRule="auto"/>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14:paraId="3F911706">
      <w:pPr>
        <w:widowControl/>
        <w:spacing w:line="36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包：1</w:t>
      </w:r>
    </w:p>
    <w:p w14:paraId="3C2D1985">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1、服务地点：</w:t>
      </w:r>
      <w:r>
        <w:rPr>
          <w:rFonts w:hint="eastAsia" w:cs="宋体" w:asciiTheme="minorEastAsia" w:hAnsiTheme="minorEastAsia" w:eastAsiaTheme="minorEastAsia"/>
          <w:kern w:val="0"/>
          <w:sz w:val="24"/>
        </w:rPr>
        <w:t>福建省厦门市思明区天湖路89号。</w:t>
      </w:r>
    </w:p>
    <w:p w14:paraId="2938E314">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2、服务时间：</w:t>
      </w:r>
      <w:r>
        <w:rPr>
          <w:rFonts w:hint="eastAsia" w:ascii="宋体" w:hAnsi="宋体"/>
          <w:sz w:val="24"/>
          <w:szCs w:val="28"/>
        </w:rPr>
        <w:t>202</w:t>
      </w:r>
      <w:r>
        <w:rPr>
          <w:rFonts w:hint="eastAsia" w:ascii="宋体" w:hAnsi="宋体"/>
          <w:sz w:val="24"/>
          <w:szCs w:val="28"/>
          <w:lang w:val="en-US" w:eastAsia="zh-CN"/>
        </w:rPr>
        <w:t>5</w:t>
      </w:r>
      <w:r>
        <w:rPr>
          <w:rFonts w:hint="eastAsia" w:ascii="宋体" w:hAnsi="宋体"/>
          <w:sz w:val="24"/>
          <w:szCs w:val="28"/>
        </w:rPr>
        <w:t>年1月1日至202</w:t>
      </w:r>
      <w:r>
        <w:rPr>
          <w:rFonts w:hint="eastAsia" w:ascii="宋体" w:hAnsi="宋体"/>
          <w:sz w:val="24"/>
          <w:szCs w:val="28"/>
          <w:lang w:val="en-US" w:eastAsia="zh-CN"/>
        </w:rPr>
        <w:t>5</w:t>
      </w:r>
      <w:r>
        <w:rPr>
          <w:rFonts w:hint="eastAsia" w:ascii="宋体" w:hAnsi="宋体"/>
          <w:sz w:val="24"/>
          <w:szCs w:val="28"/>
        </w:rPr>
        <w:t>年12月31日，共12个月。</w:t>
      </w:r>
    </w:p>
    <w:p w14:paraId="066C2EFD">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3、服务通过验收条件：项目验收合格后。</w:t>
      </w:r>
    </w:p>
    <w:p w14:paraId="7F5366A4">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4、是否收取履约保证金：否。</w:t>
      </w:r>
    </w:p>
    <w:p w14:paraId="3D958D67">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5、是否邀请</w:t>
      </w:r>
      <w:r>
        <w:rPr>
          <w:rFonts w:hint="eastAsia" w:cs="宋体" w:asciiTheme="minorEastAsia" w:hAnsiTheme="minorEastAsia" w:eastAsiaTheme="minorEastAsia"/>
          <w:bCs/>
          <w:kern w:val="0"/>
          <w:sz w:val="24"/>
        </w:rPr>
        <w:t>未成交供应商</w:t>
      </w:r>
      <w:r>
        <w:rPr>
          <w:rFonts w:cs="宋体" w:asciiTheme="minorEastAsia" w:hAnsiTheme="minorEastAsia" w:eastAsiaTheme="minorEastAsia"/>
          <w:bCs/>
          <w:kern w:val="0"/>
          <w:sz w:val="24"/>
        </w:rPr>
        <w:t>参与验收：否。</w:t>
      </w:r>
    </w:p>
    <w:p w14:paraId="2D5E6A95">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6、支付方式数据表格</w:t>
      </w:r>
    </w:p>
    <w:tbl>
      <w:tblPr>
        <w:tblStyle w:val="1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7"/>
        <w:gridCol w:w="5326"/>
      </w:tblGrid>
      <w:tr w14:paraId="1B9B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vAlign w:val="center"/>
          </w:tcPr>
          <w:p w14:paraId="1A2B9885">
            <w:pPr>
              <w:widowControl/>
              <w:spacing w:line="360" w:lineRule="auto"/>
              <w:jc w:val="center"/>
              <w:rPr>
                <w:rFonts w:ascii="宋体" w:hAnsi="宋体" w:cs="宋体"/>
                <w:kern w:val="0"/>
                <w:sz w:val="24"/>
              </w:rPr>
            </w:pPr>
            <w:r>
              <w:rPr>
                <w:rFonts w:ascii="宋体" w:hAnsi="宋体" w:cs="宋体"/>
                <w:kern w:val="0"/>
                <w:sz w:val="24"/>
              </w:rPr>
              <w:t>支付期次</w:t>
            </w:r>
          </w:p>
        </w:tc>
        <w:tc>
          <w:tcPr>
            <w:tcW w:w="1027" w:type="pct"/>
            <w:vAlign w:val="center"/>
          </w:tcPr>
          <w:p w14:paraId="1586D73F">
            <w:pPr>
              <w:widowControl/>
              <w:spacing w:line="360" w:lineRule="auto"/>
              <w:jc w:val="center"/>
              <w:rPr>
                <w:rFonts w:ascii="宋体" w:hAnsi="宋体" w:cs="宋体"/>
                <w:kern w:val="0"/>
                <w:sz w:val="24"/>
              </w:rPr>
            </w:pPr>
            <w:r>
              <w:rPr>
                <w:rFonts w:ascii="宋体" w:hAnsi="宋体" w:cs="宋体"/>
                <w:kern w:val="0"/>
                <w:sz w:val="24"/>
              </w:rPr>
              <w:t>支付比例</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w:t>
            </w:r>
          </w:p>
        </w:tc>
        <w:tc>
          <w:tcPr>
            <w:tcW w:w="2946" w:type="pct"/>
            <w:vAlign w:val="center"/>
          </w:tcPr>
          <w:p w14:paraId="70FC56D0">
            <w:pPr>
              <w:widowControl/>
              <w:spacing w:line="360" w:lineRule="auto"/>
              <w:jc w:val="center"/>
              <w:rPr>
                <w:rFonts w:ascii="宋体" w:hAnsi="宋体" w:cs="宋体"/>
                <w:kern w:val="0"/>
                <w:sz w:val="24"/>
              </w:rPr>
            </w:pPr>
            <w:r>
              <w:rPr>
                <w:rFonts w:ascii="宋体" w:hAnsi="宋体" w:cs="宋体"/>
                <w:kern w:val="0"/>
                <w:sz w:val="24"/>
              </w:rPr>
              <w:t>支付期次说明</w:t>
            </w:r>
          </w:p>
        </w:tc>
      </w:tr>
      <w:tr w14:paraId="6BF5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2246DBF">
            <w:pPr>
              <w:widowControl/>
              <w:spacing w:line="360" w:lineRule="auto"/>
              <w:jc w:val="center"/>
              <w:rPr>
                <w:rFonts w:ascii="宋体" w:hAnsi="宋体" w:cs="宋体"/>
                <w:kern w:val="0"/>
                <w:sz w:val="24"/>
              </w:rPr>
            </w:pPr>
            <w:r>
              <w:rPr>
                <w:rFonts w:ascii="宋体" w:hAnsi="宋体" w:cs="宋体"/>
                <w:kern w:val="0"/>
                <w:sz w:val="24"/>
              </w:rPr>
              <w:t>1</w:t>
            </w:r>
          </w:p>
        </w:tc>
        <w:tc>
          <w:tcPr>
            <w:tcW w:w="0" w:type="auto"/>
            <w:vAlign w:val="center"/>
          </w:tcPr>
          <w:p w14:paraId="3A930FC1">
            <w:pPr>
              <w:widowControl/>
              <w:spacing w:line="360" w:lineRule="auto"/>
              <w:jc w:val="center"/>
              <w:rPr>
                <w:rFonts w:ascii="宋体" w:hAnsi="宋体" w:cs="宋体"/>
                <w:kern w:val="0"/>
                <w:sz w:val="24"/>
              </w:rPr>
            </w:pPr>
            <w:r>
              <w:rPr>
                <w:rFonts w:ascii="宋体" w:hAnsi="宋体" w:cs="宋体"/>
                <w:kern w:val="0"/>
                <w:sz w:val="24"/>
              </w:rPr>
              <w:t>100</w:t>
            </w:r>
          </w:p>
        </w:tc>
        <w:tc>
          <w:tcPr>
            <w:tcW w:w="2946" w:type="pct"/>
            <w:vAlign w:val="center"/>
          </w:tcPr>
          <w:p w14:paraId="52A251BC">
            <w:pPr>
              <w:widowControl/>
              <w:spacing w:line="360" w:lineRule="auto"/>
              <w:jc w:val="left"/>
              <w:rPr>
                <w:rFonts w:ascii="宋体" w:hAnsi="宋体" w:cs="宋体"/>
                <w:kern w:val="0"/>
                <w:sz w:val="24"/>
              </w:rPr>
            </w:pPr>
            <w:r>
              <w:rPr>
                <w:rFonts w:hint="eastAsia" w:ascii="宋体" w:hAnsi="宋体" w:cs="宋体"/>
                <w:kern w:val="0"/>
                <w:sz w:val="24"/>
              </w:rPr>
              <w:t>物业管理费用采用半年度预支付形式。每个支付周期开始的首月1</w:t>
            </w:r>
            <w:r>
              <w:rPr>
                <w:rFonts w:ascii="宋体" w:hAnsi="宋体" w:cs="宋体"/>
                <w:kern w:val="0"/>
                <w:sz w:val="24"/>
              </w:rPr>
              <w:t>5</w:t>
            </w:r>
            <w:r>
              <w:rPr>
                <w:rFonts w:hint="eastAsia" w:ascii="宋体" w:hAnsi="宋体" w:cs="宋体"/>
                <w:kern w:val="0"/>
                <w:sz w:val="24"/>
              </w:rPr>
              <w:t>日前，成交供应商开具正式税务发票交采购人，采购人在7个工作日内支付相应服务费。</w:t>
            </w:r>
          </w:p>
          <w:p w14:paraId="36D03103">
            <w:pPr>
              <w:widowControl/>
              <w:spacing w:line="360" w:lineRule="auto"/>
              <w:jc w:val="left"/>
              <w:rPr>
                <w:rFonts w:ascii="宋体" w:hAnsi="宋体" w:cs="宋体"/>
                <w:kern w:val="0"/>
                <w:sz w:val="24"/>
              </w:rPr>
            </w:pPr>
            <w:r>
              <w:rPr>
                <w:rFonts w:hint="eastAsia" w:ascii="宋体" w:hAnsi="宋体" w:cs="宋体"/>
                <w:kern w:val="0"/>
                <w:sz w:val="24"/>
              </w:rPr>
              <w:t>若合同期内发生采购人提前解除合同的情形，成交供应商须退还尚未提供服务的期限相应的合同款。</w:t>
            </w:r>
          </w:p>
        </w:tc>
      </w:tr>
    </w:tbl>
    <w:p w14:paraId="3241900B">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7</w:t>
      </w:r>
      <w:r>
        <w:rPr>
          <w:rFonts w:hint="eastAsia" w:cs="宋体" w:asciiTheme="minorEastAsia" w:hAnsiTheme="minorEastAsia" w:eastAsiaTheme="minorEastAsia"/>
          <w:b/>
          <w:bCs/>
          <w:kern w:val="0"/>
          <w:sz w:val="24"/>
        </w:rPr>
        <w:t>、报价要求</w:t>
      </w:r>
    </w:p>
    <w:p w14:paraId="183FC2F3">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7</w:t>
      </w:r>
      <w:r>
        <w:rPr>
          <w:rFonts w:cs="宋体" w:asciiTheme="minorEastAsia" w:hAnsiTheme="minorEastAsia" w:eastAsiaTheme="minorEastAsia"/>
          <w:bCs/>
          <w:kern w:val="0"/>
          <w:sz w:val="24"/>
        </w:rPr>
        <w:t>.1</w:t>
      </w:r>
      <w:r>
        <w:rPr>
          <w:rFonts w:hint="eastAsia" w:cs="宋体" w:asciiTheme="minorEastAsia" w:hAnsiTheme="minorEastAsia" w:eastAsiaTheme="minorEastAsia"/>
          <w:bCs/>
          <w:kern w:val="0"/>
          <w:sz w:val="24"/>
        </w:rPr>
        <w:t>本项目为整体采购，供应商必须对采购项目的所有内容进行报价响应，不得对采购内容拆分报价，不完整响应或拆分报价的视为响应无效。</w:t>
      </w:r>
    </w:p>
    <w:p w14:paraId="6126ACA8">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7.2</w:t>
      </w:r>
      <w:r>
        <w:rPr>
          <w:rFonts w:hint="eastAsia" w:cs="宋体" w:asciiTheme="minorEastAsia" w:hAnsiTheme="minorEastAsia" w:eastAsiaTheme="minorEastAsia"/>
          <w:bCs/>
          <w:kern w:val="0"/>
          <w:sz w:val="24"/>
        </w:rPr>
        <w:t>响应报价以人民币为货币单位，应分单价、小计和总价。</w:t>
      </w:r>
    </w:p>
    <w:p w14:paraId="23BA94B5">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7.3</w:t>
      </w:r>
      <w:r>
        <w:rPr>
          <w:rFonts w:hint="eastAsia" w:cs="宋体" w:asciiTheme="minorEastAsia" w:hAnsiTheme="minorEastAsia" w:eastAsiaTheme="minorEastAsia"/>
          <w:b/>
          <w:bCs/>
          <w:kern w:val="0"/>
          <w:sz w:val="24"/>
        </w:rPr>
        <w:t>★本项目的最高限价为人民币叁拾万元整，供应商的首次报价及最终报价均不得超过</w:t>
      </w:r>
      <w:r>
        <w:rPr>
          <w:rFonts w:cs="宋体" w:asciiTheme="minorEastAsia" w:hAnsiTheme="minorEastAsia" w:eastAsiaTheme="minorEastAsia"/>
          <w:b/>
          <w:bCs/>
          <w:kern w:val="0"/>
          <w:sz w:val="24"/>
        </w:rPr>
        <w:t>最高</w:t>
      </w:r>
      <w:r>
        <w:rPr>
          <w:rFonts w:hint="eastAsia" w:cs="宋体" w:asciiTheme="minorEastAsia" w:hAnsiTheme="minorEastAsia" w:eastAsiaTheme="minorEastAsia"/>
          <w:b/>
          <w:bCs/>
          <w:kern w:val="0"/>
          <w:sz w:val="24"/>
        </w:rPr>
        <w:t>限价，否则视为响应无效。</w:t>
      </w:r>
    </w:p>
    <w:p w14:paraId="47E797E7">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7.4</w:t>
      </w:r>
      <w:r>
        <w:rPr>
          <w:rFonts w:hint="eastAsia" w:cs="宋体" w:asciiTheme="minorEastAsia" w:hAnsiTheme="minorEastAsia" w:eastAsiaTheme="minorEastAsia"/>
          <w:bCs/>
          <w:kern w:val="0"/>
          <w:sz w:val="24"/>
        </w:rPr>
        <w:t>本项目为整体采购，供应商的响应报价包括整个服务期间所有可能发生的费用，包括但不限于：员工工资、管理费用、福利费用、培训费用、设备工具及折旧费、垃圾清运费、卫生防疫及“四害”消杀费、保洁费、绿化养护费、服装费、保险、税费、成交代理服务费等可能发生的一切费用。供应商一旦成交，采购人将不会对其成交报价做出其他补偿。</w:t>
      </w:r>
    </w:p>
    <w:p w14:paraId="1ABB62F2">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7.5</w:t>
      </w:r>
      <w:r>
        <w:rPr>
          <w:rFonts w:hint="eastAsia" w:cs="宋体" w:asciiTheme="minorEastAsia" w:hAnsiTheme="minorEastAsia" w:eastAsiaTheme="minorEastAsia"/>
          <w:bCs/>
          <w:kern w:val="0"/>
          <w:sz w:val="24"/>
        </w:rPr>
        <w:t>供应商漏报的单价或每单价报价中漏报、少报的费用，视为此项费用已隐含在总报价中，成交后不得再向采购人收取任何费用。</w:t>
      </w:r>
    </w:p>
    <w:p w14:paraId="21CF9237">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7.6</w:t>
      </w:r>
      <w:r>
        <w:rPr>
          <w:rFonts w:hint="eastAsia" w:cs="宋体" w:asciiTheme="minorEastAsia" w:hAnsiTheme="minorEastAsia" w:eastAsiaTheme="minorEastAsia"/>
          <w:bCs/>
          <w:kern w:val="0"/>
          <w:sz w:val="24"/>
        </w:rPr>
        <w:t>供应商对本项目只能有一个报价，采购人不接受有选择的报价。</w:t>
      </w:r>
    </w:p>
    <w:p w14:paraId="33291994">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8</w:t>
      </w:r>
      <w:r>
        <w:rPr>
          <w:rFonts w:hint="eastAsia" w:cs="宋体" w:asciiTheme="minorEastAsia" w:hAnsiTheme="minorEastAsia" w:eastAsiaTheme="minorEastAsia"/>
          <w:b/>
          <w:bCs/>
          <w:kern w:val="0"/>
          <w:sz w:val="24"/>
        </w:rPr>
        <w:t>、商务条件响应要求</w:t>
      </w:r>
    </w:p>
    <w:p w14:paraId="4AC71530">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8</w:t>
      </w:r>
      <w:r>
        <w:rPr>
          <w:rFonts w:hint="eastAsia" w:cs="宋体" w:asciiTheme="minorEastAsia" w:hAnsiTheme="minorEastAsia" w:eastAsiaTheme="minorEastAsia"/>
          <w:bCs/>
          <w:kern w:val="0"/>
          <w:sz w:val="24"/>
        </w:rPr>
        <w:t>.1供应商应根据商务条件要求及商务项评分条款提供相应的实施的时间和范围、认证等证书、业绩经验等，并按要求提供相应的佐证材料，未按要求提供的将可能导致不得分。</w:t>
      </w:r>
    </w:p>
    <w:p w14:paraId="5284A4C8">
      <w:pPr>
        <w:widowControl/>
        <w:spacing w:line="360" w:lineRule="auto"/>
        <w:ind w:firstLine="480" w:firstLineChars="200"/>
        <w:jc w:val="left"/>
        <w:rPr>
          <w:rFonts w:cs="宋体" w:asciiTheme="minorEastAsia" w:hAnsiTheme="minorEastAsia" w:eastAsiaTheme="minorEastAsia"/>
          <w:kern w:val="0"/>
          <w:sz w:val="24"/>
        </w:rPr>
      </w:pPr>
    </w:p>
    <w:p w14:paraId="45B27E66">
      <w:pPr>
        <w:widowControl/>
        <w:spacing w:line="36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四、其他事项</w:t>
      </w:r>
    </w:p>
    <w:p w14:paraId="6BA7DE8D">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1、除</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文件另有规定外，若出现有关法律、法规和规章有强制性规定但</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文件未列明的情形，则</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应按照有关法律、法规和规章强制性规定执行。</w:t>
      </w:r>
    </w:p>
    <w:p w14:paraId="2211BCB6">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2、其他：无</w:t>
      </w:r>
      <w:r>
        <w:rPr>
          <w:rFonts w:hint="eastAsia" w:cs="宋体" w:asciiTheme="minorEastAsia" w:hAnsiTheme="minorEastAsia" w:eastAsiaTheme="minorEastAsia"/>
          <w:kern w:val="0"/>
          <w:sz w:val="24"/>
        </w:rPr>
        <w:t>。</w:t>
      </w:r>
    </w:p>
    <w:p w14:paraId="1D8164C4">
      <w:pPr>
        <w:widowControl/>
        <w:jc w:val="left"/>
        <w:rPr>
          <w:rFonts w:ascii="宋体" w:hAnsi="宋体" w:cs="宋体"/>
          <w:kern w:val="0"/>
          <w:sz w:val="24"/>
        </w:rPr>
      </w:pPr>
    </w:p>
    <w:p w14:paraId="45D32933">
      <w:bookmarkStart w:id="15" w:name="_GoBack"/>
      <w:bookmarkEnd w:id="15"/>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4EF2">
    <w:pPr>
      <w:pStyle w:val="7"/>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19</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80</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F094">
    <w:pPr>
      <w:pStyle w:val="7"/>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2</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80</w:t>
    </w:r>
    <w:r>
      <w:rPr>
        <w:rFonts w:ascii="宋体" w:hAnsi="宋体"/>
        <w:sz w:val="24"/>
      </w:rPr>
      <w:fldChar w:fldCharType="end"/>
    </w:r>
    <w:r>
      <w:rPr>
        <w:rFonts w:hint="eastAsia" w:ascii="宋体" w:hAnsi="宋体"/>
        <w:sz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170" w:firstLine="340"/>
      </w:pPr>
      <w:rPr>
        <w:rFonts w:hint="eastAsia"/>
      </w:rPr>
    </w:lvl>
    <w:lvl w:ilvl="2" w:tentative="0">
      <w:start w:val="1"/>
      <w:numFmt w:val="decimal"/>
      <w:suff w:val="space"/>
      <w:lvlText w:val="%1.%2.%3"/>
      <w:lvlJc w:val="left"/>
      <w:pPr>
        <w:ind w:left="340" w:firstLine="34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A0E6F"/>
    <w:rsid w:val="0864064E"/>
    <w:rsid w:val="1BE413A9"/>
    <w:rsid w:val="2CC74932"/>
    <w:rsid w:val="2DE46F79"/>
    <w:rsid w:val="49FB722E"/>
    <w:rsid w:val="4CBA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Lines="100" w:afterLines="100"/>
      <w:jc w:val="center"/>
      <w:outlineLvl w:val="0"/>
    </w:pPr>
    <w:rPr>
      <w:rFonts w:eastAsia="黑体"/>
      <w:b/>
      <w:bCs/>
      <w:kern w:val="0"/>
      <w:sz w:val="32"/>
      <w:szCs w:val="44"/>
    </w:rPr>
  </w:style>
  <w:style w:type="paragraph" w:styleId="3">
    <w:name w:val="heading 2"/>
    <w:basedOn w:val="1"/>
    <w:next w:val="1"/>
    <w:qFormat/>
    <w:uiPriority w:val="9"/>
    <w:pPr>
      <w:keepNext/>
      <w:keepLines/>
      <w:spacing w:beforeLines="100" w:afterLines="100"/>
      <w:jc w:val="center"/>
      <w:outlineLvl w:val="1"/>
    </w:pPr>
    <w:rPr>
      <w:rFonts w:ascii="Arial" w:hAnsi="Arial" w:eastAsia="黑体"/>
      <w:b/>
      <w:bCs/>
      <w:sz w:val="30"/>
      <w:szCs w:val="32"/>
    </w:rPr>
  </w:style>
  <w:style w:type="paragraph" w:styleId="4">
    <w:name w:val="heading 3"/>
    <w:basedOn w:val="1"/>
    <w:next w:val="1"/>
    <w:qFormat/>
    <w:uiPriority w:val="9"/>
    <w:pPr>
      <w:keepNext/>
      <w:keepLines/>
      <w:spacing w:line="360" w:lineRule="auto"/>
      <w:jc w:val="center"/>
      <w:outlineLvl w:val="2"/>
    </w:pPr>
    <w:rPr>
      <w:rFonts w:eastAsia="黑体"/>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spacing w:line="360" w:lineRule="auto"/>
      <w:ind w:left="420"/>
      <w:jc w:val="left"/>
    </w:pPr>
    <w:rPr>
      <w:iCs/>
      <w:sz w:val="24"/>
      <w:szCs w:val="20"/>
    </w:rPr>
  </w:style>
  <w:style w:type="paragraph" w:styleId="6">
    <w:name w:val="Date"/>
    <w:basedOn w:val="1"/>
    <w:next w:val="1"/>
    <w:qFormat/>
    <w:uiPriority w:val="0"/>
    <w:rPr>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line="360" w:lineRule="auto"/>
      <w:jc w:val="left"/>
    </w:pPr>
    <w:rPr>
      <w:b/>
      <w:bCs/>
      <w:caps/>
      <w:sz w:val="24"/>
      <w:szCs w:val="20"/>
    </w:rPr>
  </w:style>
  <w:style w:type="paragraph" w:styleId="10">
    <w:name w:val="toc 2"/>
    <w:basedOn w:val="1"/>
    <w:next w:val="1"/>
    <w:qFormat/>
    <w:uiPriority w:val="39"/>
    <w:pPr>
      <w:spacing w:line="360" w:lineRule="auto"/>
      <w:ind w:left="210"/>
      <w:jc w:val="left"/>
    </w:pPr>
    <w:rPr>
      <w:smallCaps/>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qFormat/>
    <w:uiPriority w:val="99"/>
    <w:rPr>
      <w:color w:val="0000FF"/>
      <w:u w:val="single"/>
    </w:rPr>
  </w:style>
  <w:style w:type="paragraph" w:customStyle="1" w:styleId="16">
    <w:name w:val="TOC 标题1"/>
    <w:basedOn w:val="2"/>
    <w:next w:val="1"/>
    <w:qFormat/>
    <w:uiPriority w:val="39"/>
    <w:pPr>
      <w:widowControl/>
      <w:spacing w:before="480" w:line="276" w:lineRule="auto"/>
      <w:jc w:val="left"/>
      <w:outlineLvl w:val="9"/>
    </w:pPr>
    <w:rPr>
      <w:rFonts w:ascii="Cambria" w:hAnsi="Cambria" w:eastAsia="宋体"/>
      <w:color w:val="365F91"/>
      <w:sz w:val="28"/>
      <w:szCs w:val="28"/>
    </w:rPr>
  </w:style>
  <w:style w:type="table" w:customStyle="1" w:styleId="17">
    <w:name w:val="网格型1"/>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
    <w:name w:val="网格型3"/>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
    <w:name w:val="网格型5"/>
    <w:basedOn w:val="1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Char Char Char Char Char Char Char1"/>
    <w:basedOn w:val="1"/>
    <w:qFormat/>
    <w:uiPriority w:val="0"/>
  </w:style>
  <w:style w:type="paragraph" w:styleId="2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1431</Words>
  <Characters>1521</Characters>
  <Lines>0</Lines>
  <Paragraphs>0</Paragraphs>
  <TotalTime>2</TotalTime>
  <ScaleCrop>false</ScaleCrop>
  <LinksUpToDate>false</LinksUpToDate>
  <CharactersWithSpaces>1524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2024-12-17T04:21:00Z</dcterms:created>
  <dc:creator>球</dc:creator>
  <cp:lastModifiedBy>球</cp:lastModifiedBy>
  <cp:lastPrinted>2024-12-17T09:24:00Z</cp:lastPrinted>
  <dcterms:modified xsi:type="dcterms:W3CDTF">2024-12-17T09:24:07Z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AE845171DB2640829FB17550767660DD_11</vt:lpwstr>
  </property>
</Properties>
</file>